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9C7A34"/>
          <w:spacing w:val="60"/>
          <w:sz w:val="64"/>
          <w:szCs w:val="64"/>
        </w:rPr>
        <w:t xml:space="preserve">AURELIA</w:t>
      </w:r>
    </w:p>
    <w:p>
      <w:pPr>
        <w:spacing w:after="60"/>
        <w:jc w:val="center"/>
      </w:pPr>
      <w:r>
        <w:rPr>
          <w:color w:val="0B1424"/>
          <w:sz w:val="26"/>
          <w:szCs w:val="26"/>
        </w:rPr>
        <w:t xml:space="preserve">Retail Sales &amp; Expense Predictive Analytics Dashboard</w:t>
      </w:r>
    </w:p>
    <w:p>
      <w:pPr>
        <w:spacing w:after="500"/>
        <w:jc w:val="center"/>
      </w:pPr>
      <w:r>
        <w:rPr>
          <w:i/>
          <w:iCs/>
          <w:color w:val="4B5C72"/>
          <w:sz w:val="22"/>
          <w:szCs w:val="22"/>
        </w:rPr>
        <w:t xml:space="preserve">Project Conversation Record</w:t>
      </w:r>
    </w:p>
    <w:p>
      <w:pPr>
        <w:spacing w:after="40"/>
        <w:jc w:val="center"/>
      </w:pPr>
      <w:r>
        <w:rPr>
          <w:color w:val="4B5C72"/>
          <w:sz w:val="20"/>
          <w:szCs w:val="20"/>
        </w:rPr>
        <w:t xml:space="preserve">Repository: 6z45ptpnfr-tech/Laura-BUSI</w:t>
      </w:r>
    </w:p>
    <w:p>
      <w:pPr>
        <w:spacing w:after="40"/>
        <w:jc w:val="center"/>
      </w:pPr>
      <w:r>
        <w:rPr>
          <w:color w:val="4B5C72"/>
          <w:sz w:val="20"/>
          <w:szCs w:val="20"/>
        </w:rPr>
        <w:t xml:space="preserve">Branch: claude/sleepy-brahmagupta-wqcaac</w:t>
      </w:r>
    </w:p>
    <w:p>
      <w:pPr>
        <w:spacing w:after="40"/>
        <w:jc w:val="center"/>
      </w:pPr>
      <w:r>
        <w:rPr>
          <w:color w:val="4B5C72"/>
          <w:sz w:val="20"/>
          <w:szCs w:val="20"/>
        </w:rPr>
        <w:t xml:space="preserve">Session date: September 15, 2026</w:t>
      </w:r>
    </w:p>
    <w:p>
      <w:pPr>
        <w:spacing w:after="40"/>
        <w:jc w:val="center"/>
      </w:pPr>
      <w:r>
        <w:rPr>
          <w:color w:val="4B5C72"/>
          <w:sz w:val="20"/>
          <w:szCs w:val="20"/>
        </w:rPr>
        <w:t xml:space="preserve">Deliverable: Retail_Sales_Expense_Predictive_Dashboard.html (single-file, self-contained)</w:t>
      </w:r>
    </w:p>
    <w:p>
      <w:r>
        <w:br w:type="page"/>
      </w:r>
    </w:p>
    <w:p>
      <w:pPr>
        <w:pStyle w:val="Heading1"/>
        <w:pBdr>
          <w:bottom w:val="single" w:color="9C7A34" w:sz="6" w:space="4"/>
        </w:pBdr>
        <w:spacing w:after="160" w:before="360"/>
      </w:pPr>
      <w:r>
        <w:rPr>
          <w:b/>
          <w:bCs/>
          <w:color w:val="0B1424"/>
          <w:sz w:val="30"/>
          <w:szCs w:val="30"/>
        </w:rPr>
        <w:t xml:space="preserve">Overview</w:t>
      </w:r>
    </w:p>
    <w:p>
      <w:pPr>
        <w:spacing w:after="140" w:line="300"/>
      </w:pPr>
      <w:r>
        <w:rPr>
          <w:i w:val="false"/>
          <w:iCs w:val="false"/>
          <w:color w:val="202020"/>
          <w:sz w:val="21"/>
          <w:szCs w:val="21"/>
        </w:rPr>
        <w:t xml:space="preserve">This document is a record of the working conversation that produced the Aurelia retail analytics dashboard — a single self-contained HTML file that reads an embedded Canadian retail dataset (3,328 weekly store/category observations) and walks management through a full predictive-storytelling flow: Past, Diagnostic, Predictive, Uncertainty, Decision, and Recommendation.</w:t>
      </w:r>
    </w:p>
    <w:p>
      <w:pPr>
        <w:spacing w:after="140" w:line="300"/>
      </w:pPr>
      <w:r>
        <w:rPr>
          <w:i w:val="false"/>
          <w:iCs w:val="false"/>
          <w:color w:val="202020"/>
          <w:sz w:val="21"/>
          <w:szCs w:val="21"/>
        </w:rPr>
        <w:t xml:space="preserve">The conversation ran across six turns. Each section below records the user's request and what was actually built in response, including the modeling decisions, bugs found and fixed along the way, and the statistical dead ends that were deliberately not shipped.</w:t>
      </w:r>
    </w:p>
    <w:p>
      <w:pPr>
        <w:pStyle w:val="Heading1"/>
        <w:shd w:fill="0B1424" w:val="clear"/>
        <w:spacing w:after="160" w:before="420"/>
      </w:pPr>
      <w:r>
        <w:rPr>
          <w:b/>
          <w:bCs/>
          <w:color w:val="FFFFFF"/>
          <w:sz w:val="26"/>
          <w:szCs w:val="26"/>
        </w:rPr>
        <w:t xml:space="preserve">  Turn 1  —  Initial Dashboard Build</w:t>
      </w:r>
    </w:p>
    <w:p>
      <w:pPr>
        <w:spacing w:after="40"/>
      </w:pPr>
      <w:r>
        <w:rPr>
          <w:b/>
          <w:bCs/>
          <w:caps/>
          <w:color w:val="9C7A34"/>
          <w:sz w:val="18"/>
          <w:szCs w:val="18"/>
        </w:rPr>
        <w:t xml:space="preserve">User Request</w:t>
      </w:r>
    </w:p>
    <w:p>
      <w:pPr>
        <w:pBdr>
          <w:left w:val="single" w:color="C9C9C9" w:sz="12" w:space="8"/>
        </w:pBdr>
        <w:spacing w:after="160" w:line="300"/>
        <w:ind w:left="431"/>
      </w:pPr>
      <w:r>
        <w:rPr>
          <w:i/>
          <w:iCs/>
          <w:color w:val="4B5C72"/>
          <w:sz w:val="21"/>
          <w:szCs w:val="21"/>
        </w:rPr>
        <w:t xml:space="preserve">Act as a Senior Business Analytics Consultant and expert web developer. Build a complete, self-contained interactive dashboard in a single HTML file (Chart.js + CSV parsing) from an uploaded retail dataset, structured around a mandatory Predictive Storytelling flow — Past, Diagnostic, Predictive, Uncertainty, Decision, Recommendation — with an executive KPI summary, conditional colour-coding, interactive what-if sliders for at least six business drivers, and automated managerial recommendations.</w:t>
      </w:r>
    </w:p>
    <w:p>
      <w:pPr>
        <w:spacing w:after="40"/>
      </w:pPr>
      <w:r>
        <w:rPr>
          <w:b/>
          <w:bCs/>
          <w:caps/>
          <w:color w:val="9C7A34"/>
          <w:sz w:val="18"/>
          <w:szCs w:val="18"/>
        </w:rPr>
        <w:t xml:space="preserve">Delivered</w:t>
      </w:r>
    </w:p>
    <w:p>
      <w:pPr>
        <w:pStyle w:val="ListParagraph"/>
        <w:numPr>
          <w:ilvl w:val="0"/>
          <w:numId w:val="2"/>
        </w:numPr>
        <w:spacing w:after="80" w:line="280"/>
      </w:pPr>
      <w:r>
        <w:rPr>
          <w:b/>
          <w:bCs/>
          <w:color w:val="0B1424"/>
          <w:sz w:val="21"/>
          <w:szCs w:val="21"/>
        </w:rPr>
        <w:t xml:space="preserve">Data pipeline: </w:t>
      </w:r>
      <w:r>
        <w:rPr>
          <w:color w:val="202020"/>
          <w:sz w:val="21"/>
          <w:szCs w:val="21"/>
        </w:rPr>
        <w:t xml:space="preserve">CSV upload with PapaParse, weekly aggregation across 104 weeks and 8 stores × 4 categories, descriptive statistics (mean, median, std. dev., CV, rolling averages).</w:t>
      </w:r>
    </w:p>
    <w:p>
      <w:pPr>
        <w:pStyle w:val="ListParagraph"/>
        <w:numPr>
          <w:ilvl w:val="0"/>
          <w:numId w:val="2"/>
        </w:numPr>
        <w:spacing w:after="80" w:line="280"/>
      </w:pPr>
      <w:r>
        <w:rPr>
          <w:b/>
          <w:bCs/>
          <w:color w:val="0B1424"/>
          <w:sz w:val="21"/>
          <w:szCs w:val="21"/>
        </w:rPr>
        <w:t xml:space="preserve">Executive KPIs: </w:t>
      </w:r>
      <w:r>
        <w:rPr>
          <w:color w:val="202020"/>
          <w:sz w:val="21"/>
          <w:szCs w:val="21"/>
        </w:rPr>
        <w:t xml:space="preserve">Actual / forecast / budget / variance % for sales and expenses (with inverted favourability logic for expenses), operating profit and margin, statistical success probabilities.</w:t>
      </w:r>
    </w:p>
    <w:p>
      <w:pPr>
        <w:pStyle w:val="ListParagraph"/>
        <w:numPr>
          <w:ilvl w:val="0"/>
          <w:numId w:val="2"/>
        </w:numPr>
        <w:spacing w:after="80" w:line="280"/>
      </w:pPr>
      <w:r>
        <w:rPr>
          <w:b/>
          <w:bCs/>
          <w:color w:val="0B1424"/>
          <w:sz w:val="21"/>
          <w:szCs w:val="21"/>
        </w:rPr>
        <w:t xml:space="preserve">Diagnostic: </w:t>
      </w:r>
      <w:r>
        <w:rPr>
          <w:color w:val="202020"/>
          <w:sz w:val="21"/>
          <w:szCs w:val="21"/>
        </w:rPr>
        <w:t xml:space="preserve">Variance analysis and top/bottom performer tables segmented by store, region, category, and format.</w:t>
      </w:r>
    </w:p>
    <w:p>
      <w:pPr>
        <w:pStyle w:val="ListParagraph"/>
        <w:numPr>
          <w:ilvl w:val="0"/>
          <w:numId w:val="2"/>
        </w:numPr>
        <w:spacing w:after="80" w:line="280"/>
      </w:pPr>
      <w:r>
        <w:rPr>
          <w:b/>
          <w:bCs/>
          <w:color w:val="0B1424"/>
          <w:sz w:val="21"/>
          <w:szCs w:val="21"/>
        </w:rPr>
        <w:t xml:space="preserve">Predictive: </w:t>
      </w:r>
      <w:r>
        <w:rPr>
          <w:color w:val="202020"/>
          <w:sz w:val="21"/>
          <w:szCs w:val="21"/>
        </w:rPr>
        <w:t xml:space="preserve">Two ordinary-least-squares multiple regressions (sales and total expense) fit on driver variables (traffic, conversion, marketing, discount, labour, COGS, and more), with a 12-week forward forecast built from independent linear trend lines per driver.</w:t>
      </w:r>
    </w:p>
    <w:p>
      <w:pPr>
        <w:pStyle w:val="ListParagraph"/>
        <w:numPr>
          <w:ilvl w:val="0"/>
          <w:numId w:val="2"/>
        </w:numPr>
        <w:spacing w:after="80" w:line="280"/>
      </w:pPr>
      <w:r>
        <w:rPr>
          <w:b/>
          <w:bCs/>
          <w:color w:val="0B1424"/>
          <w:sz w:val="21"/>
          <w:szCs w:val="21"/>
        </w:rPr>
        <w:t xml:space="preserve">Uncertainty: </w:t>
      </w:r>
      <w:r>
        <w:rPr>
          <w:color w:val="202020"/>
          <w:sz w:val="21"/>
          <w:szCs w:val="21"/>
        </w:rPr>
        <w:t xml:space="preserve">80/20 chronological train/test split, held-out R², RMSE and MAPE, an actual-vs-predicted scatter, and 95% prediction intervals on the forecast.</w:t>
      </w:r>
    </w:p>
    <w:p>
      <w:pPr>
        <w:pStyle w:val="ListParagraph"/>
        <w:numPr>
          <w:ilvl w:val="0"/>
          <w:numId w:val="2"/>
        </w:numPr>
        <w:spacing w:after="80" w:line="280"/>
      </w:pPr>
      <w:r>
        <w:rPr>
          <w:b/>
          <w:bCs/>
          <w:color w:val="0B1424"/>
          <w:sz w:val="21"/>
          <w:szCs w:val="21"/>
        </w:rPr>
        <w:t xml:space="preserve">Decision: </w:t>
      </w:r>
      <w:r>
        <w:rPr>
          <w:color w:val="202020"/>
          <w:sz w:val="21"/>
          <w:szCs w:val="21"/>
        </w:rPr>
        <w:t xml:space="preserve">Six interactive sliders (traffic, conversion, marketing spend, discount, labour hours, COGS rate) recalculating sales, expense, profit and budget-hit probability live from the regression coefficients.</w:t>
      </w:r>
    </w:p>
    <w:p>
      <w:pPr>
        <w:pStyle w:val="ListParagraph"/>
        <w:numPr>
          <w:ilvl w:val="0"/>
          <w:numId w:val="2"/>
        </w:numPr>
        <w:spacing w:after="80" w:line="280"/>
      </w:pPr>
      <w:r>
        <w:rPr>
          <w:b/>
          <w:bCs/>
          <w:color w:val="0B1424"/>
          <w:sz w:val="21"/>
          <w:szCs w:val="21"/>
        </w:rPr>
        <w:t xml:space="preserve">Recommendation: </w:t>
      </w:r>
      <w:r>
        <w:rPr>
          <w:color w:val="202020"/>
          <w:sz w:val="21"/>
          <w:szCs w:val="21"/>
        </w:rPr>
        <w:t xml:space="preserve">Automated, data-driven bullet recommendations reacting to the current KPI and what-if state.</w:t>
      </w:r>
    </w:p>
    <w:p>
      <w:pPr>
        <w:spacing w:after="40"/>
      </w:pPr>
      <w:r>
        <w:rPr>
          <w:b/>
          <w:bCs/>
          <w:caps/>
          <w:color w:val="B23A2E"/>
          <w:sz w:val="18"/>
          <w:szCs w:val="18"/>
        </w:rPr>
        <w:t xml:space="preserve">Notable Findings</w:t>
      </w:r>
    </w:p>
    <w:p>
      <w:pPr>
        <w:spacing w:after="140" w:line="300"/>
      </w:pPr>
      <w:r>
        <w:rPr>
          <w:i w:val="false"/>
          <w:iCs w:val="false"/>
          <w:color w:val="202020"/>
          <w:sz w:val="21"/>
          <w:szCs w:val="21"/>
        </w:rPr>
        <w:t xml:space="preserve">Before shipping, the dashboard was loaded in a headless Chromium browser against the real CSV to verify it end-to-end, which surfaced two real bugs that were fixed before delivery:</w:t>
      </w:r>
    </w:p>
    <w:p>
      <w:pPr>
        <w:pStyle w:val="ListParagraph"/>
        <w:numPr>
          <w:ilvl w:val="0"/>
          <w:numId w:val="2"/>
        </w:numPr>
        <w:spacing w:after="80" w:line="280"/>
      </w:pPr>
      <w:r>
        <w:rPr>
          <w:color w:val="202020"/>
          <w:sz w:val="21"/>
          <w:szCs w:val="21"/>
        </w:rPr>
        <w:t xml:space="preserve">The expense forecast chart was plotting the Sales Budget line instead of the Expense Budget line, a copy-paste artifact in the shared chart-building function.</w:t>
      </w:r>
    </w:p>
    <w:p>
      <w:pPr>
        <w:pStyle w:val="ListParagraph"/>
        <w:numPr>
          <w:ilvl w:val="0"/>
          <w:numId w:val="2"/>
        </w:numPr>
        <w:spacing w:after="80" w:line="280"/>
      </w:pPr>
      <w:r>
        <w:rPr>
          <w:color w:val="202020"/>
          <w:sz w:val="21"/>
          <w:szCs w:val="21"/>
        </w:rPr>
        <w:t xml:space="preserve">The executive KPI success-probability metric was comparing a future forecast against a stale, holiday-period budget baseline from a different time window, producing meaningless 0% / &gt;99% swings; it was corrected to compare each forecasted week against its own trended budget.</w:t>
      </w:r>
    </w:p>
    <w:p>
      <w:pPr>
        <w:pStyle w:val="Heading1"/>
        <w:shd w:fill="0B1424" w:val="clear"/>
        <w:spacing w:after="160" w:before="420"/>
      </w:pPr>
      <w:r>
        <w:rPr>
          <w:b/>
          <w:bCs/>
          <w:color w:val="FFFFFF"/>
          <w:sz w:val="26"/>
          <w:szCs w:val="26"/>
        </w:rPr>
        <w:t xml:space="preserve">  Turn 2  —  Full Self-Containment, Global Filters, Inventory Analytics, and Actionable Recommendations</w:t>
      </w:r>
    </w:p>
    <w:p>
      <w:pPr>
        <w:spacing w:after="40"/>
      </w:pPr>
      <w:r>
        <w:rPr>
          <w:b/>
          <w:bCs/>
          <w:caps/>
          <w:color w:val="9C7A34"/>
          <w:sz w:val="18"/>
          <w:szCs w:val="18"/>
        </w:rPr>
        <w:t xml:space="preserve">User Request</w:t>
      </w:r>
    </w:p>
    <w:p>
      <w:pPr>
        <w:pBdr>
          <w:left w:val="single" w:color="C9C9C9" w:sz="12" w:space="8"/>
        </w:pBdr>
        <w:spacing w:after="160" w:line="300"/>
        <w:ind w:left="431"/>
      </w:pPr>
      <w:r>
        <w:rPr>
          <w:i/>
          <w:iCs/>
          <w:color w:val="4B5C72"/>
          <w:sz w:val="21"/>
          <w:szCs w:val="21"/>
        </w:rPr>
        <w:t xml:space="preserve">Four enhancements: (1) remove the CSV upload entirely and embed the dataset directly so the file works standalone on any computer; (2) enforce the sequential Past → Diagnostic → Predictive → Uncertainty → Decision → Recommendation narrative and add a global filter bar (Region, Store Format, Category); (3) add inventory management models — turnover ratio, Days Sales of Inventory, a Reorder Point / Safety Stock model, and an interactive stockout-risk control in the What-If panel; (4) upgrade the Recommendation section so each item carries a business insight, an action plan, and a specific measurable target KPI.</w:t>
      </w:r>
    </w:p>
    <w:p>
      <w:pPr>
        <w:spacing w:after="40"/>
      </w:pPr>
      <w:r>
        <w:rPr>
          <w:b/>
          <w:bCs/>
          <w:caps/>
          <w:color w:val="9C7A34"/>
          <w:sz w:val="18"/>
          <w:szCs w:val="18"/>
        </w:rPr>
        <w:t xml:space="preserve">Delivered</w:t>
      </w:r>
    </w:p>
    <w:p>
      <w:pPr>
        <w:pStyle w:val="ListParagraph"/>
        <w:numPr>
          <w:ilvl w:val="0"/>
          <w:numId w:val="2"/>
        </w:numPr>
        <w:spacing w:after="80" w:line="280"/>
      </w:pPr>
      <w:r>
        <w:rPr>
          <w:b/>
          <w:bCs/>
          <w:color w:val="0B1424"/>
          <w:sz w:val="21"/>
          <w:szCs w:val="21"/>
        </w:rPr>
        <w:t xml:space="preserve">Embedded dataset: </w:t>
      </w:r>
      <w:r>
        <w:rPr>
          <w:color w:val="202020"/>
          <w:sz w:val="21"/>
          <w:szCs w:val="21"/>
        </w:rPr>
        <w:t xml:space="preserve">all 3,328 rows compiled into a compact JavaScript array literal inside the HTML file itself; the upload UI, PapaParse dependency, and file-handling code were removed entirely.</w:t>
      </w:r>
    </w:p>
    <w:p>
      <w:pPr>
        <w:pStyle w:val="ListParagraph"/>
        <w:numPr>
          <w:ilvl w:val="0"/>
          <w:numId w:val="2"/>
        </w:numPr>
        <w:spacing w:after="80" w:line="280"/>
      </w:pPr>
      <w:r>
        <w:rPr>
          <w:b/>
          <w:bCs/>
          <w:color w:val="0B1424"/>
          <w:sz w:val="21"/>
          <w:szCs w:val="21"/>
        </w:rPr>
        <w:t xml:space="preserve">Global filters: </w:t>
      </w:r>
      <w:r>
        <w:rPr>
          <w:color w:val="202020"/>
          <w:sz w:val="21"/>
          <w:szCs w:val="21"/>
        </w:rPr>
        <w:t xml:space="preserve">a sticky filter bar (Region / Store Format / Category, populated from the dataset's real values) that re-runs the entire pipeline — KPIs, charts, regressions, forecast, inventory model, recommendations — on the filtered subset.</w:t>
      </w:r>
    </w:p>
    <w:p>
      <w:pPr>
        <w:pStyle w:val="ListParagraph"/>
        <w:numPr>
          <w:ilvl w:val="0"/>
          <w:numId w:val="2"/>
        </w:numPr>
        <w:spacing w:after="80" w:line="280"/>
      </w:pPr>
      <w:r>
        <w:rPr>
          <w:b/>
          <w:bCs/>
          <w:color w:val="0B1424"/>
          <w:sz w:val="21"/>
          <w:szCs w:val="21"/>
        </w:rPr>
        <w:t xml:space="preserve">Inventory analytics: </w:t>
      </w:r>
      <w:r>
        <w:rPr>
          <w:color w:val="202020"/>
          <w:sz w:val="21"/>
          <w:szCs w:val="21"/>
        </w:rPr>
        <w:t xml:space="preserve">Inventory Turnover and DSI by category, a Reorder Point / Safety Stock model with adjustable Lead Time, Service Level, and Stock-Cover assumptions, and a seventh what-if slider for Inventory Availability wired to a dedicated store-category-week elasticity regression, feeding a Stockout Risk badge and a Holding-Cost-Delta that nets into Scenario Operating Profit.</w:t>
      </w:r>
    </w:p>
    <w:p>
      <w:pPr>
        <w:pStyle w:val="ListParagraph"/>
        <w:numPr>
          <w:ilvl w:val="0"/>
          <w:numId w:val="2"/>
        </w:numPr>
        <w:spacing w:after="80" w:line="280"/>
      </w:pPr>
      <w:r>
        <w:rPr>
          <w:b/>
          <w:bCs/>
          <w:color w:val="0B1424"/>
          <w:sz w:val="21"/>
          <w:szCs w:val="21"/>
        </w:rPr>
        <w:t xml:space="preserve">Upgraded recommendations: </w:t>
      </w:r>
      <w:r>
        <w:rPr>
          <w:color w:val="202020"/>
          <w:sz w:val="21"/>
          <w:szCs w:val="21"/>
        </w:rPr>
        <w:t xml:space="preserve">every card restructured into Insight / Action Plan / Target KPI, each with a number computed live from the model (e.g. wage-to-sales ratio vs. a 28% benchmark, a computed customer-acquisition-cost cap).</w:t>
      </w:r>
    </w:p>
    <w:p>
      <w:pPr>
        <w:spacing w:after="40"/>
      </w:pPr>
      <w:r>
        <w:rPr>
          <w:b/>
          <w:bCs/>
          <w:caps/>
          <w:color w:val="B23A2E"/>
          <w:sz w:val="18"/>
          <w:szCs w:val="18"/>
        </w:rPr>
        <w:t xml:space="preserve">Notable Findings</w:t>
      </w:r>
    </w:p>
    <w:p>
      <w:pPr>
        <w:spacing w:after="140" w:line="300"/>
      </w:pPr>
      <w:r>
        <w:rPr>
          <w:i w:val="false"/>
          <w:iCs w:val="false"/>
          <w:color w:val="202020"/>
          <w:sz w:val="21"/>
          <w:szCs w:val="21"/>
        </w:rPr>
        <w:t xml:space="preserve">A real bug was found and fixed here as well: the Days Sales of Inventory formula had its direction inverted (dividing by availability instead of multiplying), which made the estimated holding cost move the wrong way as inventory availability changed. It was caught by cross-checking the raw data and corrected before shipping.</w:t>
      </w:r>
    </w:p>
    <w:p>
      <w:pPr>
        <w:spacing w:after="140" w:line="300"/>
      </w:pPr>
      <w:r>
        <w:rPr>
          <w:i w:val="false"/>
          <w:iCs w:val="false"/>
          <w:color w:val="202020"/>
          <w:sz w:val="21"/>
          <w:szCs w:val="21"/>
        </w:rPr>
        <w:t xml:space="preserve">Separately, adding Inventory Availability directly to the main network-level sales regression was tested and rejected: at that aggregation level the variable showed a spurious negative coefficient (an artifact of averaging away the real cross-sectional variation). The inventory-to-sales effect was instead estimated from a dedicated store-category-week regression, which preserves that variation and produces the correct positive sign.</w:t>
      </w:r>
    </w:p>
    <w:p>
      <w:pPr>
        <w:pStyle w:val="Heading1"/>
        <w:shd w:fill="0B1424" w:val="clear"/>
        <w:spacing w:after="160" w:before="420"/>
      </w:pPr>
      <w:r>
        <w:rPr>
          <w:b/>
          <w:bCs/>
          <w:color w:val="FFFFFF"/>
          <w:sz w:val="26"/>
          <w:szCs w:val="26"/>
        </w:rPr>
        <w:t xml:space="preserve">  Turn 3  —  Price-Elasticity / Discount-Margin Module and Marketing Attribution</w:t>
      </w:r>
    </w:p>
    <w:p>
      <w:pPr>
        <w:spacing w:after="40"/>
      </w:pPr>
      <w:r>
        <w:rPr>
          <w:b/>
          <w:bCs/>
          <w:caps/>
          <w:color w:val="9C7A34"/>
          <w:sz w:val="18"/>
          <w:szCs w:val="18"/>
        </w:rPr>
        <w:t xml:space="preserve">User Request</w:t>
      </w:r>
    </w:p>
    <w:p>
      <w:pPr>
        <w:pBdr>
          <w:left w:val="single" w:color="C9C9C9" w:sz="12" w:space="8"/>
        </w:pBdr>
        <w:spacing w:after="160" w:line="300"/>
        <w:ind w:left="431"/>
      </w:pPr>
      <w:r>
        <w:rPr>
          <w:i/>
          <w:iCs/>
          <w:color w:val="4B5C72"/>
          <w:sz w:val="21"/>
          <w:szCs w:val="21"/>
        </w:rPr>
        <w:t xml:space="preserve">Add an econometric module to calculate price-demand elasticity per product category and evaluate whether increasing the discount percentage negatively impacts total gross margin — i.e. whether promotions drive incremental volume or just cannibalize transactional profitability. Also integrate a marketing attribution analysis measuring Return on Ad Spend broken down by digital channels versus physical in-store traffic, to identify which levers generate the highest marginal sales return.</w:t>
      </w:r>
    </w:p>
    <w:p>
      <w:pPr>
        <w:spacing w:after="40"/>
      </w:pPr>
      <w:r>
        <w:rPr>
          <w:b/>
          <w:bCs/>
          <w:caps/>
          <w:color w:val="9C7A34"/>
          <w:sz w:val="18"/>
          <w:szCs w:val="18"/>
        </w:rPr>
        <w:t xml:space="preserve">Delivered</w:t>
      </w:r>
    </w:p>
    <w:p>
      <w:pPr>
        <w:pStyle w:val="ListParagraph"/>
        <w:numPr>
          <w:ilvl w:val="0"/>
          <w:numId w:val="2"/>
        </w:numPr>
        <w:spacing w:after="80" w:line="280"/>
      </w:pPr>
      <w:r>
        <w:rPr>
          <w:b/>
          <w:bCs/>
          <w:color w:val="0B1424"/>
          <w:sz w:val="21"/>
          <w:szCs w:val="21"/>
        </w:rPr>
        <w:t xml:space="preserve">Price–Demand Elasticity &amp; Discount Impact: </w:t>
      </w:r>
      <w:r>
        <w:rPr>
          <w:color w:val="202020"/>
          <w:sz w:val="21"/>
          <w:szCs w:val="21"/>
        </w:rPr>
        <w:t xml:space="preserve">a per-category log-log elasticity regression of transaction volume against realized price (1 − discount rate), fit at the store-category-week level. On the full dataset, Electronics came back elastic (E = −1.42): a further +1pp of discount is projected to add $62.7K in margin. Health &amp; Beauty (E = −0.68) and Apparel (E = −0.80) came back inelastic, each projected to lose roughly $25–26K in margin per +1pp of further discount — genuine cannibalization, not incremental volume.</w:t>
      </w:r>
    </w:p>
    <w:p>
      <w:pPr>
        <w:pStyle w:val="ListParagraph"/>
        <w:numPr>
          <w:ilvl w:val="0"/>
          <w:numId w:val="2"/>
        </w:numPr>
        <w:spacing w:after="80" w:line="280"/>
      </w:pPr>
      <w:r>
        <w:rPr>
          <w:b/>
          <w:bCs/>
          <w:color w:val="0B1424"/>
          <w:sz w:val="21"/>
          <w:szCs w:val="21"/>
        </w:rPr>
        <w:t xml:space="preserve">Marketing Attribution &amp; Channel Return: </w:t>
      </w:r>
      <w:r>
        <w:rPr>
          <w:color w:val="202020"/>
          <w:sz w:val="21"/>
          <w:szCs w:val="21"/>
        </w:rPr>
        <w:t xml:space="preserve">a real, non-modelled blended ROAS (6.75x network-wide) and digital-vs-in-store revenue mix (32% / 68%), plus a per-category marginal-lever comparison (marketing spend vs. foot traffic vs. online order mix, normalized to a common ~1% effort increase) so the three levers could be ranked fairly. Foot traffic came back as the highest-return lever in all four categories, by a wide margin over raw marketing spend increases.</w:t>
      </w:r>
    </w:p>
    <w:p>
      <w:pPr>
        <w:pStyle w:val="ListParagraph"/>
        <w:numPr>
          <w:ilvl w:val="0"/>
          <w:numId w:val="2"/>
        </w:numPr>
        <w:spacing w:after="80" w:line="280"/>
      </w:pPr>
      <w:r>
        <w:rPr>
          <w:b/>
          <w:bCs/>
          <w:color w:val="0B1424"/>
          <w:sz w:val="21"/>
          <w:szCs w:val="21"/>
        </w:rPr>
        <w:t xml:space="preserve">Recommendation integration: </w:t>
      </w:r>
      <w:r>
        <w:rPr>
          <w:color w:val="202020"/>
          <w:sz w:val="21"/>
          <w:szCs w:val="21"/>
        </w:rPr>
        <w:t xml:space="preserve">a new Pricing recommendation card (elasticity / cannibalization) and an enriched Marketing recommendation card (budget allocation tied to the lever ranking), both filter-aware.</w:t>
      </w:r>
    </w:p>
    <w:p>
      <w:pPr>
        <w:spacing w:after="40"/>
      </w:pPr>
      <w:r>
        <w:rPr>
          <w:b/>
          <w:bCs/>
          <w:caps/>
          <w:color w:val="B23A2E"/>
          <w:sz w:val="18"/>
          <w:szCs w:val="18"/>
        </w:rPr>
        <w:t xml:space="preserve">Notable Findings</w:t>
      </w:r>
    </w:p>
    <w:p>
      <w:pPr>
        <w:spacing w:after="140" w:line="300"/>
      </w:pPr>
      <w:r>
        <w:rPr>
          <w:i w:val="false"/>
          <w:iCs w:val="false"/>
          <w:color w:val="202020"/>
          <w:sz w:val="21"/>
          <w:szCs w:val="21"/>
        </w:rPr>
        <w:t xml:space="preserve">The margin side of the elasticity module was deliberately not built as a direct regression of margin rate on discount rate: that regression was tested first and returned a near-zero, uninformative coefficient, because in this dataset the COGS rate is generated independently of the discount rate — margin rate has no structural link to discounting to detect. The standard microeconomic “total revenue test” (elastic demand plus a price cut grows revenue and margin; inelastic demand shrinks both) was used instead, which is the theoretically correct and numerically stable way to connect elasticity to a margin conclusion.</w:t>
      </w:r>
    </w:p>
    <w:p>
      <w:pPr>
        <w:spacing w:after="140" w:line="300"/>
      </w:pPr>
      <w:r>
        <w:rPr>
          <w:i w:val="false"/>
          <w:iCs w:val="false"/>
          <w:color w:val="202020"/>
          <w:sz w:val="21"/>
          <w:szCs w:val="21"/>
        </w:rPr>
        <w:t xml:space="preserve">The marketing-attribution module went through a documented dead end: the first approach split the single Marketing Spend column into “digital” and “in-store” proportionally by online order share, then regressed each split against its own revenue share. That produces a mathematically identical ROAS for both channels every time, because the split ratio cancels out algebraically — a statistical artifact, not a finding. It was discarded in favour of the lever-comparison regression, which uses three independently measured columns (marketing spend, foot traffic, online order share) rather than a derived split of one another.</w:t>
      </w:r>
    </w:p>
    <w:p>
      <w:pPr>
        <w:pStyle w:val="Heading1"/>
        <w:shd w:fill="0B1424" w:val="clear"/>
        <w:spacing w:after="160" w:before="420"/>
      </w:pPr>
      <w:r>
        <w:rPr>
          <w:b/>
          <w:bCs/>
          <w:color w:val="FFFFFF"/>
          <w:sz w:val="26"/>
          <w:szCs w:val="26"/>
        </w:rPr>
        <w:t xml:space="preserve">  Turn 4  —  Branding and Data-Label Cleanup</w:t>
      </w:r>
    </w:p>
    <w:p>
      <w:pPr>
        <w:spacing w:after="40"/>
      </w:pPr>
      <w:r>
        <w:rPr>
          <w:b/>
          <w:bCs/>
          <w:caps/>
          <w:color w:val="9C7A34"/>
          <w:sz w:val="18"/>
          <w:szCs w:val="18"/>
        </w:rPr>
        <w:t xml:space="preserve">User Request</w:t>
      </w:r>
    </w:p>
    <w:p>
      <w:pPr>
        <w:pBdr>
          <w:left w:val="single" w:color="C9C9C9" w:sz="12" w:space="8"/>
        </w:pBdr>
        <w:spacing w:after="160" w:line="300"/>
        <w:ind w:left="431"/>
      </w:pPr>
      <w:r>
        <w:rPr>
          <w:i/>
          <w:iCs/>
          <w:color w:val="4B5C72"/>
          <w:sz w:val="21"/>
          <w:szCs w:val="21"/>
        </w:rPr>
        <w:t xml:space="preserve">Remove the Methodology &amp; Assumptions section entirely. Give the company a cool, catchy brand name and place it at the very top as the primary title. Wherever the dashboard displays a location ID before a city name (e.g. “MIS01 — Mississauga”), strip the ID and leave just the city name.</w:t>
      </w:r>
    </w:p>
    <w:p>
      <w:pPr>
        <w:spacing w:after="40"/>
      </w:pPr>
      <w:r>
        <w:rPr>
          <w:b/>
          <w:bCs/>
          <w:caps/>
          <w:color w:val="9C7A34"/>
          <w:sz w:val="18"/>
          <w:szCs w:val="18"/>
        </w:rPr>
        <w:t xml:space="preserve">Delivered</w:t>
      </w:r>
    </w:p>
    <w:p>
      <w:pPr>
        <w:pStyle w:val="ListParagraph"/>
        <w:numPr>
          <w:ilvl w:val="0"/>
          <w:numId w:val="2"/>
        </w:numPr>
        <w:spacing w:after="80" w:line="280"/>
      </w:pPr>
      <w:r>
        <w:rPr>
          <w:color w:val="202020"/>
          <w:sz w:val="21"/>
          <w:szCs w:val="21"/>
        </w:rPr>
        <w:t xml:space="preserve">Removed the Methodology &amp; Assumptions section and its associated CSS entirely.</w:t>
      </w:r>
    </w:p>
    <w:p>
      <w:pPr>
        <w:pStyle w:val="ListParagraph"/>
        <w:numPr>
          <w:ilvl w:val="0"/>
          <w:numId w:val="2"/>
        </w:numPr>
        <w:spacing w:after="80" w:line="280"/>
      </w:pPr>
      <w:r>
        <w:rPr>
          <w:color w:val="202020"/>
          <w:sz w:val="21"/>
          <w:szCs w:val="21"/>
        </w:rPr>
        <w:t xml:space="preserve">Added “NORTHLYTICS” as a primary brand wordmark above the existing dashboard title, with the previous title demoted to a subtitle line.</w:t>
      </w:r>
    </w:p>
    <w:p>
      <w:pPr>
        <w:pStyle w:val="ListParagraph"/>
        <w:numPr>
          <w:ilvl w:val="0"/>
          <w:numId w:val="2"/>
        </w:numPr>
        <w:spacing w:after="80" w:line="280"/>
      </w:pPr>
      <w:r>
        <w:rPr>
          <w:color w:val="202020"/>
          <w:sz w:val="21"/>
          <w:szCs w:val="21"/>
        </w:rPr>
        <w:t xml:space="preserve">Changed the Store grouping key from “Store_ID — City” to just “City” across the diagnostic tables and charts; verified each store maps to a unique city in this dataset, so no information was lost.</w:t>
      </w:r>
    </w:p>
    <w:p>
      <w:pPr>
        <w:pStyle w:val="Heading1"/>
        <w:shd w:fill="0B1424" w:val="clear"/>
        <w:spacing w:after="160" w:before="420"/>
      </w:pPr>
      <w:r>
        <w:rPr>
          <w:b/>
          <w:bCs/>
          <w:color w:val="FFFFFF"/>
          <w:sz w:val="26"/>
          <w:szCs w:val="26"/>
        </w:rPr>
        <w:t xml:space="preserve">  Turn 5  —  Rebrand to Aurelia and Live Key Alerts Banner</w:t>
      </w:r>
    </w:p>
    <w:p>
      <w:pPr>
        <w:spacing w:after="40"/>
      </w:pPr>
      <w:r>
        <w:rPr>
          <w:b/>
          <w:bCs/>
          <w:caps/>
          <w:color w:val="9C7A34"/>
          <w:sz w:val="18"/>
          <w:szCs w:val="18"/>
        </w:rPr>
        <w:t xml:space="preserve">User Request</w:t>
      </w:r>
    </w:p>
    <w:p>
      <w:pPr>
        <w:pBdr>
          <w:left w:val="single" w:color="C9C9C9" w:sz="12" w:space="8"/>
        </w:pBdr>
        <w:spacing w:after="160" w:line="300"/>
        <w:ind w:left="431"/>
      </w:pPr>
      <w:r>
        <w:rPr>
          <w:i/>
          <w:iCs/>
          <w:color w:val="4B5C72"/>
          <w:sz w:val="21"/>
          <w:szCs w:val="21"/>
        </w:rPr>
        <w:t xml:space="preserve">Swap the brand name for something sleeker and more high-end / luxury-retail in feel. Add an explicit “Key Alerts &amp; Anomalies” notification banner near the top that automatically highlights critical, data-driven flags: categories where discounting is cannibalizing margin, stores or regions drifting off-budget or showing high stockout risk, and sudden spikes in wage-to-sales ratio or customer-acquisition-cost thresholds.</w:t>
      </w:r>
    </w:p>
    <w:p>
      <w:pPr>
        <w:spacing w:after="40"/>
      </w:pPr>
      <w:r>
        <w:rPr>
          <w:b/>
          <w:bCs/>
          <w:caps/>
          <w:color w:val="9C7A34"/>
          <w:sz w:val="18"/>
          <w:szCs w:val="18"/>
        </w:rPr>
        <w:t xml:space="preserve">Delivered</w:t>
      </w:r>
    </w:p>
    <w:p>
      <w:pPr>
        <w:pStyle w:val="ListParagraph"/>
        <w:numPr>
          <w:ilvl w:val="0"/>
          <w:numId w:val="2"/>
        </w:numPr>
        <w:spacing w:after="80" w:line="280"/>
      </w:pPr>
      <w:r>
        <w:rPr>
          <w:b/>
          <w:bCs/>
          <w:color w:val="0B1424"/>
          <w:sz w:val="21"/>
          <w:szCs w:val="21"/>
        </w:rPr>
        <w:t xml:space="preserve">Rebrand: </w:t>
      </w:r>
      <w:r>
        <w:rPr>
          <w:color w:val="202020"/>
          <w:sz w:val="21"/>
          <w:szCs w:val="21"/>
        </w:rPr>
        <w:t xml:space="preserve">replaced “Northlytics” with “Aurelia,” set in a Playfair Display serif wordmark with a champagne-gold gradient, replacing the previous blue/purple tech-startup treatment on both the logo mark and the title.</w:t>
      </w:r>
    </w:p>
    <w:p>
      <w:pPr>
        <w:pStyle w:val="ListParagraph"/>
        <w:numPr>
          <w:ilvl w:val="0"/>
          <w:numId w:val="2"/>
        </w:numPr>
        <w:spacing w:after="80" w:line="280"/>
      </w:pPr>
      <w:r>
        <w:rPr>
          <w:b/>
          <w:bCs/>
          <w:color w:val="0B1424"/>
          <w:sz w:val="21"/>
          <w:szCs w:val="21"/>
        </w:rPr>
        <w:t xml:space="preserve">Key Alerts &amp; Anomalies banner: </w:t>
      </w:r>
      <w:r>
        <w:rPr>
          <w:color w:val="202020"/>
          <w:sz w:val="21"/>
          <w:szCs w:val="21"/>
        </w:rPr>
        <w:t xml:space="preserve">a live panel beneath the filter bar that rebuilds itself from the current filtered data on every render, checking: discount-driven margin cannibalization (from the elasticity module), stores or regions off sales budget beyond a threshold, high or medium inventory stockout risk, labour cost above a 28% wage-to-sales benchmark, and customer-acquisition-cost divergence across categories (flagged when the priciest category's cost per transaction is 1.5x or more the cheapest).</w:t>
      </w:r>
    </w:p>
    <w:p>
      <w:pPr>
        <w:spacing w:after="140" w:line="300"/>
      </w:pPr>
      <w:r>
        <w:rPr>
          <w:i w:val="false"/>
          <w:iCs w:val="false"/>
          <w:color w:val="202020"/>
          <w:sz w:val="21"/>
          <w:szCs w:val="21"/>
        </w:rPr>
        <w:t xml:space="preserve">On the full dataset this surfaced two critical alerts (Health &amp; Beauty and Apparel discount cannibalization, both pulled directly from the elasticity module) and one warning (Electronics' customer acquisition cost running 2.8x Health &amp; Beauty's) — verified live in the browser, including that the banner correctly narrows to the one relevant alert when the Category filter is set to Health &amp; Beauty alone, and shows a clear “All Clear” state when nothing crosses a threshold.</w:t>
      </w:r>
    </w:p>
    <w:p>
      <w:pPr>
        <w:spacing w:after="140" w:line="300"/>
      </w:pPr>
      <w:r>
        <w:rPr>
          <w:i w:val="false"/>
          <w:iCs w:val="false"/>
          <w:color w:val="202020"/>
          <w:sz w:val="21"/>
          <w:szCs w:val="21"/>
        </w:rPr>
        <w:t xml:space="preserve">Each alert row is clickable and scrolls to the dashboard section with the supporting detail.</w:t>
      </w:r>
    </w:p>
    <w:p>
      <w:pPr>
        <w:pStyle w:val="Heading1"/>
        <w:shd w:fill="0B1424" w:val="clear"/>
        <w:spacing w:after="160" w:before="420"/>
      </w:pPr>
      <w:r>
        <w:rPr>
          <w:b/>
          <w:bCs/>
          <w:color w:val="FFFFFF"/>
          <w:sz w:val="26"/>
          <w:szCs w:val="26"/>
        </w:rPr>
        <w:t xml:space="preserve">  Turn 6  —  Conversation Export</w:t>
      </w:r>
    </w:p>
    <w:p>
      <w:pPr>
        <w:spacing w:after="40"/>
      </w:pPr>
      <w:r>
        <w:rPr>
          <w:b/>
          <w:bCs/>
          <w:caps/>
          <w:color w:val="9C7A34"/>
          <w:sz w:val="18"/>
          <w:szCs w:val="18"/>
        </w:rPr>
        <w:t xml:space="preserve">User Request</w:t>
      </w:r>
    </w:p>
    <w:p>
      <w:pPr>
        <w:pBdr>
          <w:left w:val="single" w:color="C9C9C9" w:sz="12" w:space="8"/>
        </w:pBdr>
        <w:spacing w:after="160" w:line="300"/>
        <w:ind w:left="431"/>
      </w:pPr>
      <w:r>
        <w:rPr>
          <w:i/>
          <w:iCs/>
          <w:color w:val="4B5C72"/>
          <w:sz w:val="21"/>
          <w:szCs w:val="21"/>
        </w:rPr>
        <w:t xml:space="preserve">Export the entire conversation history into a Word document (.docx) and provide the download link or file.</w:t>
      </w:r>
    </w:p>
    <w:p>
      <w:pPr>
        <w:spacing w:after="40"/>
      </w:pPr>
      <w:r>
        <w:rPr>
          <w:b/>
          <w:bCs/>
          <w:caps/>
          <w:color w:val="9C7A34"/>
          <w:sz w:val="18"/>
          <w:szCs w:val="18"/>
        </w:rPr>
        <w:t xml:space="preserve">Delivered</w:t>
      </w:r>
    </w:p>
    <w:p>
      <w:pPr>
        <w:spacing w:after="140" w:line="300"/>
      </w:pPr>
      <w:r>
        <w:rPr>
          <w:i w:val="false"/>
          <w:iCs w:val="false"/>
          <w:color w:val="202020"/>
          <w:sz w:val="21"/>
          <w:szCs w:val="21"/>
        </w:rPr>
        <w:t xml:space="preserve">This document.</w:t>
      </w:r>
    </w:p>
    <w:p>
      <w:pPr>
        <w:pStyle w:val="Heading1"/>
        <w:pBdr>
          <w:bottom w:val="single" w:color="9C7A34" w:sz="6" w:space="4"/>
        </w:pBdr>
        <w:spacing w:after="160" w:before="360"/>
      </w:pPr>
      <w:r>
        <w:rPr>
          <w:b/>
          <w:bCs/>
          <w:color w:val="0B1424"/>
          <w:sz w:val="30"/>
          <w:szCs w:val="30"/>
        </w:rPr>
        <w:t xml:space="preserve">Appendix A — Commit History</w:t>
      </w:r>
    </w:p>
    <w:p>
      <w:pPr>
        <w:spacing w:after="140" w:line="300"/>
      </w:pPr>
      <w:r>
        <w:rPr>
          <w:i w:val="false"/>
          <w:iCs w:val="false"/>
          <w:color w:val="202020"/>
          <w:sz w:val="21"/>
          <w:szCs w:val="21"/>
        </w:rPr>
        <w:t xml:space="preserve">All work was committed to the branch claude/sleepy-brahmagupta-wqcaac in 6z45ptpnfr-tech/Laura-BUSI, one commit per turn:</w:t>
      </w:r>
    </w:p>
    <w:p>
      <w:pP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6260"/>
      </w:tblGrid>
      <w:tr>
        <w:tc>
          <w:tcPr>
            <w:tcW w:type="dxa" w:w="1500"/>
            <w:shd w:fill="0B1424" w:val="clear"/>
            <w:tcMar>
              <w:top w:type="dxa" w:w="80"/>
              <w:left w:type="dxa" w:w="100"/>
              <w:bottom w:type="dxa" w:w="80"/>
              <w:right w:type="dxa" w:w="100"/>
            </w:tcMar>
          </w:tcPr>
          <w:p>
            <w:r>
              <w:rPr>
                <w:b/>
                <w:bCs/>
                <w:color w:val="FFFFFF"/>
                <w:sz w:val="19"/>
                <w:szCs w:val="19"/>
              </w:rPr>
              <w:t xml:space="preserve">Commit</w:t>
            </w:r>
          </w:p>
        </w:tc>
        <w:tc>
          <w:tcPr>
            <w:tcW w:type="dxa" w:w="1600"/>
            <w:shd w:fill="0B1424" w:val="clear"/>
            <w:tcMar>
              <w:top w:type="dxa" w:w="80"/>
              <w:left w:type="dxa" w:w="100"/>
              <w:bottom w:type="dxa" w:w="80"/>
              <w:right w:type="dxa" w:w="100"/>
            </w:tcMar>
          </w:tcPr>
          <w:p>
            <w:r>
              <w:rPr>
                <w:b/>
                <w:bCs/>
                <w:color w:val="FFFFFF"/>
                <w:sz w:val="19"/>
                <w:szCs w:val="19"/>
              </w:rPr>
              <w:t xml:space="preserve">Date</w:t>
            </w:r>
          </w:p>
        </w:tc>
        <w:tc>
          <w:tcPr>
            <w:tcW w:type="dxa" w:w="6260"/>
            <w:shd w:fill="0B1424" w:val="clear"/>
            <w:tcMar>
              <w:top w:type="dxa" w:w="80"/>
              <w:left w:type="dxa" w:w="100"/>
              <w:bottom w:type="dxa" w:w="80"/>
              <w:right w:type="dxa" w:w="100"/>
            </w:tcMar>
          </w:tcPr>
          <w:p>
            <w:r>
              <w:rPr>
                <w:b/>
                <w:bCs/>
                <w:color w:val="FFFFFF"/>
                <w:sz w:val="19"/>
                <w:szCs w:val="19"/>
              </w:rPr>
              <w:t xml:space="preserve">Message</w:t>
            </w:r>
          </w:p>
        </w:tc>
      </w:tr>
      <w:tr>
        <w:tc>
          <w:tcPr>
            <w:tcW w:type="dxa" w:w="1500"/>
            <w:tcMar>
              <w:top w:type="dxa" w:w="80"/>
              <w:left w:type="dxa" w:w="100"/>
              <w:bottom w:type="dxa" w:w="80"/>
              <w:right w:type="dxa" w:w="100"/>
            </w:tcMar>
          </w:tcPr>
          <w:p>
            <w:r>
              <w:rPr>
                <w:b w:val="false"/>
                <w:bCs w:val="false"/>
                <w:color w:val="202020"/>
                <w:sz w:val="19"/>
                <w:szCs w:val="19"/>
              </w:rPr>
              <w:t xml:space="preserve">a4061fe</w:t>
            </w:r>
          </w:p>
        </w:tc>
        <w:tc>
          <w:tcPr>
            <w:tcW w:type="dxa" w:w="1600"/>
            <w:tcMar>
              <w:top w:type="dxa" w:w="80"/>
              <w:left w:type="dxa" w:w="100"/>
              <w:bottom w:type="dxa" w:w="80"/>
              <w:right w:type="dxa" w:w="100"/>
            </w:tcMar>
          </w:tcPr>
          <w:p>
            <w:r>
              <w:rPr>
                <w:b w:val="false"/>
                <w:bCs w:val="false"/>
                <w:color w:val="202020"/>
                <w:sz w:val="19"/>
                <w:szCs w:val="19"/>
              </w:rPr>
              <w:t xml:space="preserve">2026-09-15</w:t>
            </w:r>
          </w:p>
        </w:tc>
        <w:tc>
          <w:tcPr>
            <w:tcW w:type="dxa" w:w="6260"/>
            <w:tcMar>
              <w:top w:type="dxa" w:w="80"/>
              <w:left w:type="dxa" w:w="100"/>
              <w:bottom w:type="dxa" w:w="80"/>
              <w:right w:type="dxa" w:w="100"/>
            </w:tcMar>
          </w:tcPr>
          <w:p>
            <w:r>
              <w:rPr>
                <w:b w:val="false"/>
                <w:bCs w:val="false"/>
                <w:color w:val="202020"/>
                <w:sz w:val="19"/>
                <w:szCs w:val="19"/>
              </w:rPr>
              <w:t xml:space="preserve">Rebrand as Aurelia and add a live Key Alerts &amp; Anomalies banner</w:t>
            </w:r>
          </w:p>
        </w:tc>
      </w:tr>
      <w:tr>
        <w:tc>
          <w:tcPr>
            <w:tcW w:type="dxa" w:w="1500"/>
            <w:tcMar>
              <w:top w:type="dxa" w:w="80"/>
              <w:left w:type="dxa" w:w="100"/>
              <w:bottom w:type="dxa" w:w="80"/>
              <w:right w:type="dxa" w:w="100"/>
            </w:tcMar>
          </w:tcPr>
          <w:p>
            <w:r>
              <w:rPr>
                <w:b w:val="false"/>
                <w:bCs w:val="false"/>
                <w:color w:val="202020"/>
                <w:sz w:val="19"/>
                <w:szCs w:val="19"/>
              </w:rPr>
              <w:t xml:space="preserve">5310794</w:t>
            </w:r>
          </w:p>
        </w:tc>
        <w:tc>
          <w:tcPr>
            <w:tcW w:type="dxa" w:w="1600"/>
            <w:tcMar>
              <w:top w:type="dxa" w:w="80"/>
              <w:left w:type="dxa" w:w="100"/>
              <w:bottom w:type="dxa" w:w="80"/>
              <w:right w:type="dxa" w:w="100"/>
            </w:tcMar>
          </w:tcPr>
          <w:p>
            <w:r>
              <w:rPr>
                <w:b w:val="false"/>
                <w:bCs w:val="false"/>
                <w:color w:val="202020"/>
                <w:sz w:val="19"/>
                <w:szCs w:val="19"/>
              </w:rPr>
              <w:t xml:space="preserve">2026-09-15</w:t>
            </w:r>
          </w:p>
        </w:tc>
        <w:tc>
          <w:tcPr>
            <w:tcW w:type="dxa" w:w="6260"/>
            <w:tcMar>
              <w:top w:type="dxa" w:w="80"/>
              <w:left w:type="dxa" w:w="100"/>
              <w:bottom w:type="dxa" w:w="80"/>
              <w:right w:type="dxa" w:w="100"/>
            </w:tcMar>
          </w:tcPr>
          <w:p>
            <w:r>
              <w:rPr>
                <w:b w:val="false"/>
                <w:bCs w:val="false"/>
                <w:color w:val="202020"/>
                <w:sz w:val="19"/>
                <w:szCs w:val="19"/>
              </w:rPr>
              <w:t xml:space="preserve">Add brand name, remove methodology section, clean up store labels</w:t>
            </w:r>
          </w:p>
        </w:tc>
      </w:tr>
      <w:tr>
        <w:tc>
          <w:tcPr>
            <w:tcW w:type="dxa" w:w="1500"/>
            <w:tcMar>
              <w:top w:type="dxa" w:w="80"/>
              <w:left w:type="dxa" w:w="100"/>
              <w:bottom w:type="dxa" w:w="80"/>
              <w:right w:type="dxa" w:w="100"/>
            </w:tcMar>
          </w:tcPr>
          <w:p>
            <w:r>
              <w:rPr>
                <w:b w:val="false"/>
                <w:bCs w:val="false"/>
                <w:color w:val="202020"/>
                <w:sz w:val="19"/>
                <w:szCs w:val="19"/>
              </w:rPr>
              <w:t xml:space="preserve">7c82780</w:t>
            </w:r>
          </w:p>
        </w:tc>
        <w:tc>
          <w:tcPr>
            <w:tcW w:type="dxa" w:w="1600"/>
            <w:tcMar>
              <w:top w:type="dxa" w:w="80"/>
              <w:left w:type="dxa" w:w="100"/>
              <w:bottom w:type="dxa" w:w="80"/>
              <w:right w:type="dxa" w:w="100"/>
            </w:tcMar>
          </w:tcPr>
          <w:p>
            <w:r>
              <w:rPr>
                <w:b w:val="false"/>
                <w:bCs w:val="false"/>
                <w:color w:val="202020"/>
                <w:sz w:val="19"/>
                <w:szCs w:val="19"/>
              </w:rPr>
              <w:t xml:space="preserve">2026-09-15</w:t>
            </w:r>
          </w:p>
        </w:tc>
        <w:tc>
          <w:tcPr>
            <w:tcW w:type="dxa" w:w="6260"/>
            <w:tcMar>
              <w:top w:type="dxa" w:w="80"/>
              <w:left w:type="dxa" w:w="100"/>
              <w:bottom w:type="dxa" w:w="80"/>
              <w:right w:type="dxa" w:w="100"/>
            </w:tcMar>
          </w:tcPr>
          <w:p>
            <w:r>
              <w:rPr>
                <w:b w:val="false"/>
                <w:bCs w:val="false"/>
                <w:color w:val="202020"/>
                <w:sz w:val="19"/>
                <w:szCs w:val="19"/>
              </w:rPr>
              <w:t xml:space="preserve">Add price-elasticity/discount-margin module and marketing attribution module</w:t>
            </w:r>
          </w:p>
        </w:tc>
      </w:tr>
      <w:tr>
        <w:tc>
          <w:tcPr>
            <w:tcW w:type="dxa" w:w="1500"/>
            <w:tcMar>
              <w:top w:type="dxa" w:w="80"/>
              <w:left w:type="dxa" w:w="100"/>
              <w:bottom w:type="dxa" w:w="80"/>
              <w:right w:type="dxa" w:w="100"/>
            </w:tcMar>
          </w:tcPr>
          <w:p>
            <w:r>
              <w:rPr>
                <w:b w:val="false"/>
                <w:bCs w:val="false"/>
                <w:color w:val="202020"/>
                <w:sz w:val="19"/>
                <w:szCs w:val="19"/>
              </w:rPr>
              <w:t xml:space="preserve">3666ee3</w:t>
            </w:r>
          </w:p>
        </w:tc>
        <w:tc>
          <w:tcPr>
            <w:tcW w:type="dxa" w:w="1600"/>
            <w:tcMar>
              <w:top w:type="dxa" w:w="80"/>
              <w:left w:type="dxa" w:w="100"/>
              <w:bottom w:type="dxa" w:w="80"/>
              <w:right w:type="dxa" w:w="100"/>
            </w:tcMar>
          </w:tcPr>
          <w:p>
            <w:r>
              <w:rPr>
                <w:b w:val="false"/>
                <w:bCs w:val="false"/>
                <w:color w:val="202020"/>
                <w:sz w:val="19"/>
                <w:szCs w:val="19"/>
              </w:rPr>
              <w:t xml:space="preserve">2026-09-15</w:t>
            </w:r>
          </w:p>
        </w:tc>
        <w:tc>
          <w:tcPr>
            <w:tcW w:type="dxa" w:w="6260"/>
            <w:tcMar>
              <w:top w:type="dxa" w:w="80"/>
              <w:left w:type="dxa" w:w="100"/>
              <w:bottom w:type="dxa" w:w="80"/>
              <w:right w:type="dxa" w:w="100"/>
            </w:tcMar>
          </w:tcPr>
          <w:p>
            <w:r>
              <w:rPr>
                <w:b w:val="false"/>
                <w:bCs w:val="false"/>
                <w:color w:val="202020"/>
                <w:sz w:val="19"/>
                <w:szCs w:val="19"/>
              </w:rPr>
              <w:t xml:space="preserve">Embed dataset, add global filters, inventory analytics, and actionable recommendations</w:t>
            </w:r>
          </w:p>
        </w:tc>
      </w:tr>
      <w:tr>
        <w:tc>
          <w:tcPr>
            <w:tcW w:type="dxa" w:w="1500"/>
            <w:tcMar>
              <w:top w:type="dxa" w:w="80"/>
              <w:left w:type="dxa" w:w="100"/>
              <w:bottom w:type="dxa" w:w="80"/>
              <w:right w:type="dxa" w:w="100"/>
            </w:tcMar>
          </w:tcPr>
          <w:p>
            <w:r>
              <w:rPr>
                <w:b w:val="false"/>
                <w:bCs w:val="false"/>
                <w:color w:val="202020"/>
                <w:sz w:val="19"/>
                <w:szCs w:val="19"/>
              </w:rPr>
              <w:t xml:space="preserve">e241dcc</w:t>
            </w:r>
          </w:p>
        </w:tc>
        <w:tc>
          <w:tcPr>
            <w:tcW w:type="dxa" w:w="1600"/>
            <w:tcMar>
              <w:top w:type="dxa" w:w="80"/>
              <w:left w:type="dxa" w:w="100"/>
              <w:bottom w:type="dxa" w:w="80"/>
              <w:right w:type="dxa" w:w="100"/>
            </w:tcMar>
          </w:tcPr>
          <w:p>
            <w:r>
              <w:rPr>
                <w:b w:val="false"/>
                <w:bCs w:val="false"/>
                <w:color w:val="202020"/>
                <w:sz w:val="19"/>
                <w:szCs w:val="19"/>
              </w:rPr>
              <w:t xml:space="preserve">2026-09-15</w:t>
            </w:r>
          </w:p>
        </w:tc>
        <w:tc>
          <w:tcPr>
            <w:tcW w:type="dxa" w:w="6260"/>
            <w:tcMar>
              <w:top w:type="dxa" w:w="80"/>
              <w:left w:type="dxa" w:w="100"/>
              <w:bottom w:type="dxa" w:w="80"/>
              <w:right w:type="dxa" w:w="100"/>
            </w:tcMar>
          </w:tcPr>
          <w:p>
            <w:r>
              <w:rPr>
                <w:b w:val="false"/>
                <w:bCs w:val="false"/>
                <w:color w:val="202020"/>
                <w:sz w:val="19"/>
                <w:szCs w:val="19"/>
              </w:rPr>
              <w:t xml:space="preserve">Add retail predictive analytics dashboard</w:t>
            </w:r>
          </w:p>
        </w:tc>
      </w:tr>
    </w:tbl>
    <w:p>
      <w:pPr>
        <w:pStyle w:val="Heading1"/>
        <w:pBdr>
          <w:bottom w:val="single" w:color="9C7A34" w:sz="6" w:space="4"/>
        </w:pBdr>
        <w:spacing w:after="160" w:before="360"/>
      </w:pPr>
      <w:r>
        <w:rPr>
          <w:b/>
          <w:bCs/>
          <w:color w:val="0B1424"/>
          <w:sz w:val="30"/>
          <w:szCs w:val="30"/>
        </w:rPr>
        <w:t xml:space="preserve">Appendix B — Final Deliverable</w:t>
      </w:r>
    </w:p>
    <w:p>
      <w:pPr>
        <w:pStyle w:val="ListParagraph"/>
        <w:numPr>
          <w:ilvl w:val="0"/>
          <w:numId w:val="2"/>
        </w:numPr>
        <w:spacing w:after="80" w:line="280"/>
      </w:pPr>
      <w:r>
        <w:rPr>
          <w:b/>
          <w:bCs/>
          <w:color w:val="0B1424"/>
          <w:sz w:val="21"/>
          <w:szCs w:val="21"/>
        </w:rPr>
        <w:t xml:space="preserve">File: </w:t>
      </w:r>
      <w:r>
        <w:rPr>
          <w:color w:val="202020"/>
          <w:sz w:val="21"/>
          <w:szCs w:val="21"/>
        </w:rPr>
        <w:t xml:space="preserve">Retail_Sales_Expense_Predictive_Dashboard.html — a single, self-contained file (dataset embedded, no external CSV required) that opens directly in any browser.</w:t>
      </w:r>
    </w:p>
    <w:p>
      <w:pPr>
        <w:pStyle w:val="ListParagraph"/>
        <w:numPr>
          <w:ilvl w:val="0"/>
          <w:numId w:val="2"/>
        </w:numPr>
        <w:spacing w:after="80" w:line="280"/>
      </w:pPr>
      <w:r>
        <w:rPr>
          <w:b/>
          <w:bCs/>
          <w:color w:val="0B1424"/>
          <w:sz w:val="21"/>
          <w:szCs w:val="21"/>
        </w:rPr>
        <w:t xml:space="preserve">Structure: </w:t>
      </w:r>
      <w:r>
        <w:rPr>
          <w:color w:val="202020"/>
          <w:sz w:val="21"/>
          <w:szCs w:val="21"/>
        </w:rPr>
        <w:t xml:space="preserve">Executive KPIs → Key Alerts &amp; Anomalies → 1. Past → 2. Diagnostic (including inventory, elasticity, and marketing-attribution modules) → 3. Predictive → 4. Uncertainty → 5. Decision (What-If) → 6. Recommendation.</w:t>
      </w:r>
    </w:p>
    <w:p>
      <w:pPr>
        <w:pStyle w:val="ListParagraph"/>
        <w:numPr>
          <w:ilvl w:val="0"/>
          <w:numId w:val="2"/>
        </w:numPr>
        <w:spacing w:after="80" w:line="280"/>
      </w:pPr>
      <w:r>
        <w:rPr>
          <w:b/>
          <w:bCs/>
          <w:color w:val="0B1424"/>
          <w:sz w:val="21"/>
          <w:szCs w:val="21"/>
        </w:rPr>
        <w:t xml:space="preserve">Data: </w:t>
      </w:r>
      <w:r>
        <w:rPr>
          <w:color w:val="202020"/>
          <w:sz w:val="21"/>
          <w:szCs w:val="21"/>
        </w:rPr>
        <w:t xml:space="preserve">3,328 weekly observations across 8 stores, 5 regions, 3 store formats, and 4 categories, covering 2024-01-07 through 2025-12-28.</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2026-09-15T05:53:32.585Z</dcterms:created>
  <dcterms:modified xsi:type="dcterms:W3CDTF">2026-09-15T05:53:32.586Z</dcterms:modified>
</cp:coreProperties>
</file>

<file path=docProps/custom.xml><?xml version="1.0" encoding="utf-8"?>
<Properties xmlns="http://schemas.openxmlformats.org/officeDocument/2006/custom-properties" xmlns:vt="http://schemas.openxmlformats.org/officeDocument/2006/docPropsVTypes"/>
</file>