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Calibri" w:cs="Calibri" w:eastAsia="Calibri" w:hAnsi="Calibri"/>
          <w:b/>
          <w:bCs/>
          <w:color w:val="1F3A5F"/>
          <w:sz w:val="60"/>
          <w:szCs w:val="60"/>
        </w:rPr>
        <w:t xml:space="preserve">How a Loan Application Is Assessed</w:t>
      </w:r>
    </w:p>
    <w:p>
      <w:pPr>
        <w:pBdr>
          <w:bottom w:val="single" w:color="2E6DA4" w:sz="12" w:space="12"/>
        </w:pBdr>
        <w:spacing w:after="240"/>
      </w:pPr>
      <w:r>
        <w:rPr>
          <w:rFonts w:ascii="Calibri" w:cs="Calibri" w:eastAsia="Calibri" w:hAnsi="Calibri"/>
          <w:color w:val="2E6DA4"/>
          <w:sz w:val="30"/>
          <w:szCs w:val="30"/>
        </w:rPr>
        <w:t xml:space="preserve">The five Cs of credit, every measure, and where each figure comes from</w:t>
      </w:r>
    </w:p>
    <w:p>
      <w:pPr>
        <w:spacing w:after="200" w:before="200" w:line="300"/>
      </w:pPr>
      <w:r>
        <w:rPr>
          <w:rFonts w:ascii="Calibri" w:cs="Calibri" w:eastAsia="Calibri" w:hAnsi="Calibri"/>
          <w:sz w:val="21"/>
          <w:szCs w:val="21"/>
        </w:rPr>
        <w:t xml:space="preserve">An explanation in plain language of how the platform turns an applicant’s answers, documents and credit history into a recommended outcome, for every measure and every rule.</w:t>
      </w:r>
    </w:p>
    <w:p>
      <w:pPr>
        <w:spacing w:after="1600"/>
      </w:pPr>
      <w:r>
        <w:rPr>
          <w:rFonts w:ascii="Calibri" w:cs="Calibri" w:eastAsia="Calibri" w:hAnsi="Calibri"/>
          <w:color w:val="5A6472"/>
          <w:sz w:val="21"/>
          <w:szCs w:val="21"/>
        </w:rPr>
        <w:t xml:space="preserve">Prepared September 2026</w:t>
      </w:r>
    </w:p>
    <w:p>
      <w:pPr>
        <w:pBdr>
          <w:left w:val="single" w:color="2E6DA4" w:sz="18" w:space="8"/>
        </w:pBdr>
        <w:shd w:fill="EEF4FB" w:color="auto" w:val="clear"/>
        <w:spacing w:after="180" w:before="120" w:line="276"/>
        <w:ind w:left="200"/>
      </w:pPr>
      <w:r>
        <w:rPr>
          <w:rFonts w:ascii="Calibri" w:cs="Calibri" w:eastAsia="Calibri" w:hAnsi="Calibri"/>
          <w:b/>
          <w:bCs/>
          <w:sz w:val="21"/>
          <w:szCs w:val="21"/>
        </w:rPr>
        <w:t xml:space="preserve">Please note. </w:t>
      </w:r>
      <w:r>
        <w:rPr>
          <w:rFonts w:ascii="Calibri" w:cs="Calibri" w:eastAsia="Calibri" w:hAnsi="Calibri"/>
          <w:sz w:val="21"/>
          <w:szCs w:val="21"/>
        </w:rPr>
        <w:t xml:space="preserve">The lending limits, benchmarks and thresholds shown in this document are placeholder settings used to demonstrate the platform. They must be replaced with the lender’s own credit policy before real use. The credit bureau is also simulated. Section 11 lists what is working, what is simulated and what is not yet built.</w:t>
      </w:r>
    </w:p>
    <w:p>
      <w:pPr>
        <w:pStyle w:val="Heading1"/>
        <w:pageBreakBefore/>
        <w:spacing w:after="200"/>
      </w:pPr>
      <w:r>
        <w:t xml:space="preserve">Contents</w:t>
      </w:r>
    </w:p>
    <w:p>
      <w:pPr>
        <w:spacing w:after="100"/>
      </w:pPr>
      <w:r>
        <w:rPr>
          <w:rFonts w:ascii="Calibri" w:cs="Calibri" w:eastAsia="Calibri" w:hAnsi="Calibri"/>
          <w:sz w:val="21"/>
          <w:szCs w:val="21"/>
        </w:rPr>
        <w:t xml:space="preserve">1. The assessment at a glance</w:t>
      </w:r>
    </w:p>
    <w:p>
      <w:pPr>
        <w:spacing w:after="100"/>
      </w:pPr>
      <w:r>
        <w:rPr>
          <w:rFonts w:ascii="Calibri" w:cs="Calibri" w:eastAsia="Calibri" w:hAnsi="Calibri"/>
          <w:sz w:val="21"/>
          <w:szCs w:val="21"/>
        </w:rPr>
        <w:t xml:space="preserve">2. Where the information comes from</w:t>
      </w:r>
    </w:p>
    <w:p>
      <w:pPr>
        <w:spacing w:after="100"/>
      </w:pPr>
      <w:r>
        <w:rPr>
          <w:rFonts w:ascii="Calibri" w:cs="Calibri" w:eastAsia="Calibri" w:hAnsi="Calibri"/>
          <w:sz w:val="21"/>
          <w:szCs w:val="21"/>
        </w:rPr>
        <w:t xml:space="preserve">3. How an application is assessed, step by step</w:t>
      </w:r>
    </w:p>
    <w:p>
      <w:pPr>
        <w:spacing w:after="100"/>
      </w:pPr>
      <w:r>
        <w:rPr>
          <w:rFonts w:ascii="Calibri" w:cs="Calibri" w:eastAsia="Calibri" w:hAnsi="Calibri"/>
          <w:sz w:val="21"/>
          <w:szCs w:val="21"/>
        </w:rPr>
        <w:t xml:space="preserve">4. Capacity: can they afford the repayments?</w:t>
      </w:r>
    </w:p>
    <w:p>
      <w:pPr>
        <w:spacing w:after="100"/>
      </w:pPr>
      <w:r>
        <w:rPr>
          <w:rFonts w:ascii="Calibri" w:cs="Calibri" w:eastAsia="Calibri" w:hAnsi="Calibri"/>
          <w:sz w:val="21"/>
          <w:szCs w:val="21"/>
        </w:rPr>
        <w:t xml:space="preserve">5. Capital: what do they put in and own?</w:t>
      </w:r>
    </w:p>
    <w:p>
      <w:pPr>
        <w:spacing w:after="100"/>
      </w:pPr>
      <w:r>
        <w:rPr>
          <w:rFonts w:ascii="Calibri" w:cs="Calibri" w:eastAsia="Calibri" w:hAnsi="Calibri"/>
          <w:sz w:val="21"/>
          <w:szCs w:val="21"/>
        </w:rPr>
        <w:t xml:space="preserve">6. Character: how have they handled credit?</w:t>
      </w:r>
    </w:p>
    <w:p>
      <w:pPr>
        <w:spacing w:after="100"/>
      </w:pPr>
      <w:r>
        <w:rPr>
          <w:rFonts w:ascii="Calibri" w:cs="Calibri" w:eastAsia="Calibri" w:hAnsi="Calibri"/>
          <w:sz w:val="21"/>
          <w:szCs w:val="21"/>
        </w:rPr>
        <w:t xml:space="preserve">7. Collateral: what secures the loan?</w:t>
      </w:r>
    </w:p>
    <w:p>
      <w:pPr>
        <w:spacing w:after="100"/>
      </w:pPr>
      <w:r>
        <w:rPr>
          <w:rFonts w:ascii="Calibri" w:cs="Calibri" w:eastAsia="Calibri" w:hAnsi="Calibri"/>
          <w:sz w:val="21"/>
          <w:szCs w:val="21"/>
        </w:rPr>
        <w:t xml:space="preserve">8. Conditions: what is the loan for, and in what circumstances?</w:t>
      </w:r>
    </w:p>
    <w:p>
      <w:pPr>
        <w:spacing w:after="100"/>
      </w:pPr>
      <w:r>
        <w:rPr>
          <w:rFonts w:ascii="Calibri" w:cs="Calibri" w:eastAsia="Calibri" w:hAnsi="Calibri"/>
          <w:sz w:val="21"/>
          <w:szCs w:val="21"/>
        </w:rPr>
        <w:t xml:space="preserve">9. Conditions of approval: what must happen before settlement</w:t>
      </w:r>
    </w:p>
    <w:p>
      <w:pPr>
        <w:spacing w:after="100"/>
      </w:pPr>
      <w:r>
        <w:rPr>
          <w:rFonts w:ascii="Calibri" w:cs="Calibri" w:eastAsia="Calibri" w:hAnsi="Calibri"/>
          <w:sz w:val="21"/>
          <w:szCs w:val="21"/>
        </w:rPr>
        <w:t xml:space="preserve">10. A worked example, and how the outcome changes</w:t>
      </w:r>
    </w:p>
    <w:p>
      <w:pPr>
        <w:spacing w:after="100"/>
      </w:pPr>
      <w:r>
        <w:rPr>
          <w:rFonts w:ascii="Calibri" w:cs="Calibri" w:eastAsia="Calibri" w:hAnsi="Calibri"/>
          <w:sz w:val="21"/>
          <w:szCs w:val="21"/>
        </w:rPr>
        <w:t xml:space="preserve">11. What is working, what is simulated, what is left</w:t>
      </w:r>
    </w:p>
    <w:p>
      <w:pPr>
        <w:spacing w:after="100"/>
      </w:pPr>
      <w:r>
        <w:rPr>
          <w:rFonts w:ascii="Calibri" w:cs="Calibri" w:eastAsia="Calibri" w:hAnsi="Calibri"/>
          <w:sz w:val="21"/>
          <w:szCs w:val="21"/>
        </w:rPr>
        <w:t xml:space="preserve">Appendix A. Every rule</w:t>
      </w:r>
    </w:p>
    <w:p>
      <w:pPr>
        <w:spacing w:after="100"/>
      </w:pPr>
      <w:r>
        <w:rPr>
          <w:rFonts w:ascii="Calibri" w:cs="Calibri" w:eastAsia="Calibri" w:hAnsi="Calibri"/>
          <w:sz w:val="21"/>
          <w:szCs w:val="21"/>
        </w:rPr>
        <w:t xml:space="preserve">Appendix B. The bank settings used</w:t>
      </w:r>
    </w:p>
    <w:p>
      <w:pPr>
        <w:spacing w:after="100"/>
      </w:pPr>
      <w:r>
        <w:rPr>
          <w:rFonts w:ascii="Calibri" w:cs="Calibri" w:eastAsia="Calibri" w:hAnsi="Calibri"/>
          <w:sz w:val="21"/>
          <w:szCs w:val="21"/>
        </w:rPr>
        <w:t xml:space="preserve">Appendix C. Glossary</w:t>
      </w:r>
    </w:p>
    <w:p>
      <w:pPr>
        <w:pStyle w:val="Heading1"/>
        <w:pageBreakBefore/>
        <w:spacing w:after="200" w:before="0"/>
      </w:pPr>
      <w:r>
        <w:t xml:space="preserve">1. The assessment at a glance</w:t>
      </w:r>
    </w:p>
    <w:p>
      <w:pPr>
        <w:spacing w:after="120" w:line="276"/>
      </w:pPr>
      <w:r>
        <w:rPr>
          <w:rFonts w:ascii="Calibri" w:cs="Calibri" w:eastAsia="Calibri" w:hAnsi="Calibri"/>
          <w:sz w:val="21"/>
          <w:szCs w:val="21"/>
        </w:rPr>
        <w:t xml:space="preserve">When someone applies for a loan, the platform collects their answers, their documents and, with their consent, a credit report. It then works out 52 measures, grouped into the five Cs of credit. A set of 33 bank rules is applied to those measures. The result is one of four outcomes, together with a list of conditions that must be met before the loan can settle.</w:t>
      </w:r>
    </w:p>
    <w:p>
      <w:pPr>
        <w:pStyle w:val="Heading2"/>
        <w:keepNext/>
        <w:spacing w:after="120" w:before="280"/>
      </w:pPr>
      <w:r>
        <w:t xml:space="preserve">Three principles</w:t>
      </w:r>
    </w:p>
    <w:p>
      <w:pPr>
        <w:pStyle w:val="ListParagraph"/>
        <w:numPr>
          <w:ilvl w:val="0"/>
          <w:numId w:val="2"/>
        </w:numPr>
        <w:spacing w:after="80" w:line="270"/>
      </w:pPr>
      <w:r>
        <w:rPr>
          <w:rFonts w:ascii="Calibri" w:cs="Calibri" w:eastAsia="Calibri" w:hAnsi="Calibri"/>
          <w:b/>
          <w:bCs/>
          <w:sz w:val="21"/>
          <w:szCs w:val="21"/>
        </w:rPr>
        <w:t xml:space="preserve">Code decides, not AI. </w:t>
      </w:r>
      <w:r>
        <w:rPr>
          <w:rFonts w:ascii="Calibri" w:cs="Calibri" w:eastAsia="Calibri" w:hAnsi="Calibri"/>
          <w:sz w:val="21"/>
          <w:szCs w:val="21"/>
        </w:rPr>
        <w:t xml:space="preserve">AI is used to hold the conversation and to read documents. Every figure and every decision is then calculated by fixed, visible rules. The AI never decides whether a loan is approved.</w:t>
      </w:r>
    </w:p>
    <w:p>
      <w:pPr>
        <w:pStyle w:val="ListParagraph"/>
        <w:numPr>
          <w:ilvl w:val="0"/>
          <w:numId w:val="2"/>
        </w:numPr>
        <w:spacing w:after="80" w:line="270"/>
      </w:pPr>
      <w:r>
        <w:rPr>
          <w:rFonts w:ascii="Calibri" w:cs="Calibri" w:eastAsia="Calibri" w:hAnsi="Calibri"/>
          <w:b/>
          <w:bCs/>
          <w:sz w:val="21"/>
          <w:szCs w:val="21"/>
        </w:rPr>
        <w:t xml:space="preserve">Nothing is guessed. </w:t>
      </w:r>
      <w:r>
        <w:rPr>
          <w:rFonts w:ascii="Calibri" w:cs="Calibri" w:eastAsia="Calibri" w:hAnsi="Calibri"/>
          <w:sz w:val="21"/>
          <w:szCs w:val="21"/>
        </w:rPr>
        <w:t xml:space="preserve">If information is missing, the measure waits and the rules that need it wait too. If a measure does not apply to a loan (a deposit on a personal loan, for example), it is skipped. A missing figure is never replaced by an assumption.</w:t>
      </w:r>
    </w:p>
    <w:p>
      <w:pPr>
        <w:pStyle w:val="ListParagraph"/>
        <w:numPr>
          <w:ilvl w:val="0"/>
          <w:numId w:val="2"/>
        </w:numPr>
        <w:spacing w:after="80" w:line="270"/>
      </w:pPr>
      <w:r>
        <w:rPr>
          <w:rFonts w:ascii="Calibri" w:cs="Calibri" w:eastAsia="Calibri" w:hAnsi="Calibri"/>
          <w:b/>
          <w:bCs/>
          <w:sz w:val="21"/>
          <w:szCs w:val="21"/>
        </w:rPr>
        <w:t xml:space="preserve">Every result can be explained. </w:t>
      </w:r>
      <w:r>
        <w:rPr>
          <w:rFonts w:ascii="Calibri" w:cs="Calibri" w:eastAsia="Calibri" w:hAnsi="Calibri"/>
          <w:sz w:val="21"/>
          <w:szCs w:val="21"/>
        </w:rPr>
        <w:t xml:space="preserve">Each measure records its source and the numbers behind it. Each rule that fires states why, and shows the values that triggered it.</w:t>
      </w:r>
    </w:p>
    <w:p>
      <w:pPr>
        <w:pStyle w:val="Heading2"/>
        <w:keepNext/>
        <w:spacing w:after="120" w:before="280"/>
      </w:pPr>
      <w:r>
        <w:t xml:space="preserve">The five 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200"/>
        <w:gridCol w:w="3638"/>
      </w:tblGrid>
      <w:tr>
        <w:trPr>
          <w:cantSplit/>
          <w:tblHeader/>
        </w:trPr>
        <w:tc>
          <w:tcPr>
            <w:tcW w:type="dxa" w:w="1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The C</w:t>
            </w:r>
          </w:p>
        </w:tc>
        <w:tc>
          <w:tcPr>
            <w:tcW w:type="dxa" w:w="3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The question it answers</w:t>
            </w:r>
          </w:p>
        </w:tc>
        <w:tc>
          <w:tcPr>
            <w:tcW w:type="dxa" w:w="1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Measures</w:t>
            </w:r>
          </w:p>
        </w:tc>
        <w:tc>
          <w:tcPr>
            <w:tcW w:type="dxa" w:w="3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Main sources</w:t>
            </w:r>
          </w:p>
        </w:tc>
      </w:tr>
      <w:tr>
        <w:trPr>
          <w:cantSplit/>
        </w:trP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Capacity</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Can they afford the repayments?</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16</w:t>
            </w:r>
          </w:p>
        </w:tc>
        <w:tc>
          <w:tcPr>
            <w:tcW w:type="dxa" w:w="3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Applicant’s answers, bank statement, bank policy</w:t>
            </w:r>
          </w:p>
        </w:tc>
      </w:tr>
      <w:tr>
        <w:trPr>
          <w:cantSplit/>
        </w:trPr>
        <w:tc>
          <w:tcPr>
            <w:tcW w:type="dxa" w:w="1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Capital</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What do they put in, and what do they own?</w:t>
            </w:r>
          </w:p>
        </w:tc>
        <w:tc>
          <w:tcPr>
            <w:tcW w:type="dxa" w:w="1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5</w:t>
            </w:r>
          </w:p>
        </w:tc>
        <w:tc>
          <w:tcPr>
            <w:tcW w:type="dxa" w:w="3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Applicant’s answers, bank statement, product settings</w:t>
            </w:r>
          </w:p>
        </w:tc>
      </w:tr>
      <w:tr>
        <w:trPr>
          <w:cantSplit/>
        </w:trP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Character</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How have they handled credit before?</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10</w:t>
            </w:r>
          </w:p>
        </w:tc>
        <w:tc>
          <w:tcPr>
            <w:tcW w:type="dxa" w:w="3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Credit bureau (with consent), applicant’s answers</w:t>
            </w:r>
          </w:p>
        </w:tc>
      </w:tr>
      <w:tr>
        <w:trPr>
          <w:cantSplit/>
        </w:trPr>
        <w:tc>
          <w:tcPr>
            <w:tcW w:type="dxa" w:w="1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Collateral</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What secures the loan, and what is it worth?</w:t>
            </w:r>
          </w:p>
        </w:tc>
        <w:tc>
          <w:tcPr>
            <w:tcW w:type="dxa" w:w="1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5 (not yet built)</w:t>
            </w:r>
          </w:p>
        </w:tc>
        <w:tc>
          <w:tcPr>
            <w:tcW w:type="dxa" w:w="3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Valuations (planned)</w:t>
            </w:r>
          </w:p>
        </w:tc>
      </w:tr>
      <w:tr>
        <w:trPr>
          <w:cantSplit/>
        </w:trP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Conditions</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What is the loan for, on what terms, in what circumstances?</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16</w:t>
            </w:r>
          </w:p>
        </w:tc>
        <w:tc>
          <w:tcPr>
            <w:tcW w:type="dxa" w:w="3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Applicant’s answers, product settings, bank policy</w:t>
            </w:r>
          </w:p>
        </w:tc>
      </w:tr>
    </w:tbl>
    <w:p>
      <w:pPr>
        <w:pStyle w:val="Heading2"/>
        <w:keepNext/>
        <w:spacing w:after="120" w:before="280"/>
      </w:pPr>
      <w:r>
        <w:t xml:space="preserve">The four possible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Outcome</w:t>
            </w:r>
          </w:p>
        </w:tc>
        <w:tc>
          <w:tcPr>
            <w:tcW w:type="dxa" w:w="72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What it means</w:t>
            </w:r>
          </w:p>
        </w:tc>
      </w:tr>
      <w:tr>
        <w:trPr>
          <w:cantSplit/>
        </w:trPr>
        <w:tc>
          <w:tcPr>
            <w:tcW w:type="dxa" w:w="2400"/>
            <w:tcBorders>
              <w:top w:val="single" w:color="BFC7D1" w:sz="4"/>
              <w:left w:val="single" w:color="BFC7D1" w:sz="4"/>
              <w:bottom w:val="single" w:color="BFC7D1" w:sz="4"/>
              <w:right w:val="single" w:color="BFC7D1" w:sz="4"/>
            </w:tcBorders>
            <w:shd w:fill="D8F0DF"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Auto-eligible</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No rule failed, none flagged, none waiting. The application could proceed without a manual review. It may still carry conditions of approval.</w:t>
            </w:r>
          </w:p>
        </w:tc>
      </w:tr>
      <w:tr>
        <w:trPr>
          <w:cantSplit/>
        </w:trPr>
        <w:tc>
          <w:tcPr>
            <w:tcW w:type="dxa" w:w="24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Underwriter review</w:t>
            </w:r>
          </w:p>
        </w:tc>
        <w:tc>
          <w:tcPr>
            <w:tcW w:type="dxa" w:w="72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Nothing failed, but at least one rule flagged something that needs a person’s judgement.</w:t>
            </w:r>
          </w:p>
        </w:tc>
      </w:tr>
      <w:tr>
        <w:trPr>
          <w:cantSplit/>
        </w:trPr>
        <w:tc>
          <w:tcPr>
            <w:tcW w:type="dxa" w:w="2400"/>
            <w:tcBorders>
              <w:top w:val="single" w:color="BFC7D1" w:sz="4"/>
              <w:left w:val="single" w:color="BFC7D1" w:sz="4"/>
              <w:bottom w:val="single" w:color="BFC7D1" w:sz="4"/>
              <w:right w:val="single" w:color="BFC7D1" w:sz="4"/>
            </w:tcBorders>
            <w:shd w:fill="DCEBFA"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Conditional</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Nothing failed, but at least one rule could not run because information is missing. The missing information is needed first.</w:t>
            </w:r>
          </w:p>
        </w:tc>
      </w:tr>
      <w:tr>
        <w:trPr>
          <w:cantSplit/>
        </w:trPr>
        <w:tc>
          <w:tcPr>
            <w:tcW w:type="dxa" w:w="24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Decline recommended</w:t>
            </w:r>
          </w:p>
        </w:tc>
        <w:tc>
          <w:tcPr>
            <w:tcW w:type="dxa" w:w="72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At least one hard rule failed. No conditions of approval are listed, because approval is not recommended.</w:t>
            </w:r>
          </w:p>
        </w:tc>
      </w:tr>
    </w:tbl>
    <w:p>
      <w:pPr>
        <w:pStyle w:val="Heading1"/>
        <w:pageBreakBefore/>
        <w:spacing w:after="200" w:before="0"/>
      </w:pPr>
      <w:r>
        <w:t xml:space="preserve">2. Where the information comes from</w:t>
      </w:r>
    </w:p>
    <w:p>
      <w:pPr>
        <w:spacing w:after="120" w:line="276"/>
      </w:pPr>
      <w:r>
        <w:rPr>
          <w:rFonts w:ascii="Calibri" w:cs="Calibri" w:eastAsia="Calibri" w:hAnsi="Calibri"/>
          <w:sz w:val="21"/>
          <w:szCs w:val="21"/>
        </w:rPr>
        <w:t xml:space="preserve">Every measure is labelled with where its value came from, so staff can see how much weight to give it. The colours below are used throughout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300"/>
        <w:gridCol w:w="2138"/>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Source</w:t>
            </w:r>
          </w:p>
        </w:tc>
        <w:tc>
          <w:tcPr>
            <w:tcW w:type="dxa" w:w="2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What it is</w:t>
            </w:r>
          </w:p>
        </w:tc>
        <w:tc>
          <w:tcPr>
            <w:tcW w:type="dxa" w:w="2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Examples</w:t>
            </w:r>
          </w:p>
        </w:tc>
        <w:tc>
          <w:tcPr>
            <w:tcW w:type="dxa" w:w="21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How far it can be relied on</w:t>
            </w:r>
          </w:p>
        </w:tc>
      </w:tr>
      <w:tr>
        <w:trPr>
          <w:cantSplit/>
        </w:trPr>
        <w:tc>
          <w:tcPr>
            <w:tcW w:type="dxa" w:w="2300"/>
            <w:tcBorders>
              <w:top w:val="single" w:color="BFC7D1" w:sz="4"/>
              <w:left w:val="single" w:color="BFC7D1" w:sz="4"/>
              <w:bottom w:val="single" w:color="BFC7D1" w:sz="4"/>
              <w:right w:val="single" w:color="BFC7D1" w:sz="4"/>
            </w:tcBorders>
            <w:shd w:fill="D6E8FA" w:color="auto" w:val="clear"/>
            <w:tcMar>
              <w:top w:type="dxa" w:w="70"/>
              <w:left w:type="dxa" w:w="110"/>
              <w:bottom w:type="dxa" w:w="70"/>
              <w:right w:type="dxa" w:w="110"/>
            </w:tcMar>
            <w:vAlign w:val="top"/>
          </w:tcPr>
          <w:p>
            <w:pPr>
              <w:spacing w:after="40"/>
            </w:pPr>
            <w:r>
              <w:rPr>
                <w:rFonts w:ascii="Calibri" w:cs="Calibri" w:eastAsia="Calibri" w:hAnsi="Calibri"/>
                <w:b/>
                <w:bCs/>
                <w:sz w:val="18"/>
                <w:szCs w:val="18"/>
              </w:rPr>
              <w:t xml:space="preserve"> Applicant’s answer </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What the applicant said in the interview.</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Income, expenses, loan purpose</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Unverified, unless a document is compared with it.</w:t>
            </w:r>
          </w:p>
        </w:tc>
      </w:tr>
      <w:tr>
        <w:trPr>
          <w:cantSplit/>
        </w:trPr>
        <w:tc>
          <w:tcPr>
            <w:tcW w:type="dxa" w:w="2300"/>
            <w:tcBorders>
              <w:top w:val="single" w:color="BFC7D1" w:sz="4"/>
              <w:left w:val="single" w:color="BFC7D1" w:sz="4"/>
              <w:bottom w:val="single" w:color="BFC7D1" w:sz="4"/>
              <w:right w:val="single" w:color="BFC7D1" w:sz="4"/>
            </w:tcBorders>
            <w:shd w:fill="D5F0DD" w:color="auto" w:val="clear"/>
            <w:tcMar>
              <w:top w:type="dxa" w:w="70"/>
              <w:left w:type="dxa" w:w="110"/>
              <w:bottom w:type="dxa" w:w="70"/>
              <w:right w:type="dxa" w:w="110"/>
            </w:tcMar>
            <w:vAlign w:val="top"/>
          </w:tcPr>
          <w:p>
            <w:pPr>
              <w:spacing w:after="40"/>
            </w:pPr>
            <w:r>
              <w:rPr>
                <w:rFonts w:ascii="Calibri" w:cs="Calibri" w:eastAsia="Calibri" w:hAnsi="Calibri"/>
                <w:b/>
                <w:bCs/>
                <w:sz w:val="18"/>
                <w:szCs w:val="18"/>
              </w:rPr>
              <w:t xml:space="preserve"> Bank statement </w:t>
            </w:r>
          </w:p>
        </w:tc>
        <w:tc>
          <w:tcPr>
            <w:tcW w:type="dxa" w:w="29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Read from an uploaded document.</w:t>
            </w:r>
          </w:p>
        </w:tc>
        <w:tc>
          <w:tcPr>
            <w:tcW w:type="dxa" w:w="2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Bank statement transactions</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Read from the document. A digital bank statement is checked to add up.</w:t>
            </w:r>
          </w:p>
        </w:tc>
      </w:tr>
      <w:tr>
        <w:trPr>
          <w:cantSplit/>
        </w:trPr>
        <w:tc>
          <w:tcPr>
            <w:tcW w:type="dxa" w:w="2300"/>
            <w:tcBorders>
              <w:top w:val="single" w:color="BFC7D1" w:sz="4"/>
              <w:left w:val="single" w:color="BFC7D1" w:sz="4"/>
              <w:bottom w:val="single" w:color="BFC7D1" w:sz="4"/>
              <w:right w:val="single" w:color="BFC7D1" w:sz="4"/>
            </w:tcBorders>
            <w:shd w:fill="E6DAF5" w:color="auto" w:val="clear"/>
            <w:tcMar>
              <w:top w:type="dxa" w:w="70"/>
              <w:left w:type="dxa" w:w="110"/>
              <w:bottom w:type="dxa" w:w="70"/>
              <w:right w:type="dxa" w:w="110"/>
            </w:tcMar>
            <w:vAlign w:val="top"/>
          </w:tcPr>
          <w:p>
            <w:pPr>
              <w:spacing w:after="40"/>
            </w:pPr>
            <w:r>
              <w:rPr>
                <w:rFonts w:ascii="Calibri" w:cs="Calibri" w:eastAsia="Calibri" w:hAnsi="Calibri"/>
                <w:b/>
                <w:bCs/>
                <w:sz w:val="18"/>
                <w:szCs w:val="18"/>
              </w:rPr>
              <w:t xml:space="preserve"> Credit bureau </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An independent credit report, pulled only with consent.</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Credit score, defaults, enquiries</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Independent of the applicant. Currently simulated.</w:t>
            </w:r>
          </w:p>
        </w:tc>
      </w:tr>
      <w:tr>
        <w:trPr>
          <w:cantSplit/>
        </w:trPr>
        <w:tc>
          <w:tcPr>
            <w:tcW w:type="dxa" w:w="2300"/>
            <w:tcBorders>
              <w:top w:val="single" w:color="BFC7D1" w:sz="4"/>
              <w:left w:val="single" w:color="BFC7D1" w:sz="4"/>
              <w:bottom w:val="single" w:color="BFC7D1" w:sz="4"/>
              <w:right w:val="single" w:color="BFC7D1" w:sz="4"/>
            </w:tcBorders>
            <w:shd w:fill="FBEACB" w:color="auto" w:val="clear"/>
            <w:tcMar>
              <w:top w:type="dxa" w:w="70"/>
              <w:left w:type="dxa" w:w="110"/>
              <w:bottom w:type="dxa" w:w="70"/>
              <w:right w:type="dxa" w:w="110"/>
            </w:tcMar>
            <w:vAlign w:val="top"/>
          </w:tcPr>
          <w:p>
            <w:pPr>
              <w:spacing w:after="40"/>
            </w:pPr>
            <w:r>
              <w:rPr>
                <w:rFonts w:ascii="Calibri" w:cs="Calibri" w:eastAsia="Calibri" w:hAnsi="Calibri"/>
                <w:b/>
                <w:bCs/>
                <w:sz w:val="18"/>
                <w:szCs w:val="18"/>
              </w:rPr>
              <w:t xml:space="preserve"> Bank policy </w:t>
            </w:r>
          </w:p>
        </w:tc>
        <w:tc>
          <w:tcPr>
            <w:tcW w:type="dxa" w:w="29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bank’s own settings and the product’s terms.</w:t>
            </w:r>
          </w:p>
        </w:tc>
        <w:tc>
          <w:tcPr>
            <w:tcW w:type="dxa" w:w="2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Shading rates, benchmarks, limits</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Set by the bank. Placeholder values today.</w:t>
            </w:r>
          </w:p>
        </w:tc>
      </w:tr>
      <w:tr>
        <w:trPr>
          <w:cantSplit/>
        </w:trPr>
        <w:tc>
          <w:tcPr>
            <w:tcW w:type="dxa" w:w="2300"/>
            <w:tcBorders>
              <w:top w:val="single" w:color="BFC7D1" w:sz="4"/>
              <w:left w:val="single" w:color="BFC7D1" w:sz="4"/>
              <w:bottom w:val="single" w:color="BFC7D1" w:sz="4"/>
              <w:right w:val="single" w:color="BFC7D1" w:sz="4"/>
            </w:tcBorders>
            <w:shd w:fill="E3E6EA" w:color="auto" w:val="clear"/>
            <w:tcMar>
              <w:top w:type="dxa" w:w="70"/>
              <w:left w:type="dxa" w:w="110"/>
              <w:bottom w:type="dxa" w:w="70"/>
              <w:right w:type="dxa" w:w="110"/>
            </w:tcMar>
            <w:vAlign w:val="top"/>
          </w:tcPr>
          <w:p>
            <w:pPr>
              <w:spacing w:after="40"/>
            </w:pPr>
            <w:r>
              <w:rPr>
                <w:rFonts w:ascii="Calibri" w:cs="Calibri" w:eastAsia="Calibri" w:hAnsi="Calibri"/>
                <w:b/>
                <w:bCs/>
                <w:sz w:val="18"/>
                <w:szCs w:val="18"/>
              </w:rPr>
              <w:t xml:space="preserve"> Calculated </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Worked out by code from the other sources.</w:t>
            </w:r>
          </w:p>
        </w:tc>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Surplus, NSR, contribution</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As reliable as the figures it is built from.</w:t>
            </w:r>
          </w:p>
        </w:tc>
      </w:tr>
    </w:tbl>
    <w:p>
      <w:pPr>
        <w:pStyle w:val="Heading2"/>
        <w:keepNext/>
        <w:spacing w:after="120" w:before="280"/>
      </w:pPr>
      <w:r>
        <w:t xml:space="preserve">What a measure can be</w:t>
      </w:r>
    </w:p>
    <w:p>
      <w:pPr>
        <w:spacing w:after="120" w:line="276"/>
      </w:pPr>
      <w:r>
        <w:rPr>
          <w:rFonts w:ascii="Calibri" w:cs="Calibri" w:eastAsia="Calibri" w:hAnsi="Calibri"/>
          <w:sz w:val="21"/>
          <w:szCs w:val="21"/>
        </w:rPr>
        <w:t xml:space="preserve">Every measure is in one of three states, and the state decides how the rules treat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State</w:t>
            </w:r>
          </w:p>
        </w:tc>
        <w:tc>
          <w:tcPr>
            <w:tcW w:type="dxa" w:w="3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Meaning</w:t>
            </w:r>
          </w:p>
        </w:tc>
        <w:tc>
          <w:tcPr>
            <w:tcW w:type="dxa" w:w="3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Effect on rules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Calculated</w:t>
            </w:r>
          </w:p>
        </w:tc>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value has been worked out.</w:t>
            </w:r>
          </w:p>
        </w:tc>
        <w:tc>
          <w:tcPr>
            <w:tcW w:type="dxa" w:w="3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Rules that need it can run.</w:t>
            </w:r>
          </w:p>
        </w:tc>
      </w:tr>
      <w:tr>
        <w:trPr>
          <w:cantSplit/>
        </w:trPr>
        <w:tc>
          <w:tcPr>
            <w:tcW w:type="dxa" w:w="24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Waiting for information</w:t>
            </w:r>
          </w:p>
        </w:tc>
        <w:tc>
          <w:tcPr>
            <w:tcW w:type="dxa" w:w="3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It applies, but the information is not there yet (for example no credit report, or take-home pay not given).</w:t>
            </w:r>
          </w:p>
        </w:tc>
        <w:tc>
          <w:tcPr>
            <w:tcW w:type="dxa" w:w="3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Rules that need it wait, and the outcome becomes Conditional.</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Not applicable</w:t>
            </w:r>
          </w:p>
        </w:tc>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It does not apply to this loan (for example a deposit on a personal loan).</w:t>
            </w:r>
          </w:p>
        </w:tc>
        <w:tc>
          <w:tcPr>
            <w:tcW w:type="dxa" w:w="3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Rules that need it are skipped.</w:t>
            </w:r>
          </w:p>
        </w:tc>
      </w:tr>
    </w:tbl>
    <w:p>
      <w:pPr>
        <w:pStyle w:val="Heading1"/>
        <w:pageBreakBefore/>
        <w:spacing w:after="200" w:before="0"/>
      </w:pPr>
      <w:r>
        <w:t xml:space="preserve">3. How an application is assessed, step by step</w:t>
      </w:r>
    </w:p>
    <w:p>
      <w:pPr>
        <w:spacing w:after="120" w:line="276"/>
      </w:pPr>
      <w:r>
        <w:rPr>
          <w:rFonts w:ascii="Calibri" w:cs="Calibri" w:eastAsia="Calibri" w:hAnsi="Calibri"/>
          <w:sz w:val="21"/>
          <w:szCs w:val="21"/>
        </w:rPr>
        <w:t xml:space="preserve">An assessment is worked out from the latest information each time it is requested, so it always reflects the applicant’s current answers and documents.</w:t>
      </w:r>
    </w:p>
    <w:p>
      <w:pPr>
        <w:pStyle w:val="ListParagraph"/>
        <w:numPr>
          <w:ilvl w:val="0"/>
          <w:numId w:val="3"/>
        </w:numPr>
        <w:spacing w:after="140" w:line="276"/>
      </w:pPr>
      <w:r>
        <w:rPr>
          <w:rFonts w:ascii="Calibri" w:cs="Calibri" w:eastAsia="Calibri" w:hAnsi="Calibri"/>
          <w:b/>
          <w:bCs/>
          <w:sz w:val="21"/>
          <w:szCs w:val="21"/>
        </w:rPr>
        <w:t xml:space="preserve">The interview. </w:t>
      </w:r>
      <w:r>
        <w:rPr>
          <w:rFonts w:ascii="Calibri" w:cs="Calibri" w:eastAsia="Calibri" w:hAnsi="Calibri"/>
          <w:sz w:val="21"/>
          <w:szCs w:val="21"/>
        </w:rPr>
        <w:t xml:space="preserve">The applicant chats with an AI assistant, which asks the questions the chosen product needs (about 60, depending on the product). The AI turns free-text replies into structured answers, and never fills in anything the applicant did not say. Ordinary code then checks each answer: valid dates, sensible amounts, and allowed choices. Regulatory wording is fixed, not left to the AI.</w:t>
      </w:r>
    </w:p>
    <w:p>
      <w:pPr>
        <w:pStyle w:val="ListParagraph"/>
        <w:numPr>
          <w:ilvl w:val="0"/>
          <w:numId w:val="3"/>
        </w:numPr>
        <w:spacing w:after="140" w:line="276"/>
      </w:pPr>
      <w:r>
        <w:rPr>
          <w:rFonts w:ascii="Calibri" w:cs="Calibri" w:eastAsia="Calibri" w:hAnsi="Calibri"/>
          <w:b/>
          <w:bCs/>
          <w:sz w:val="21"/>
          <w:szCs w:val="21"/>
        </w:rPr>
        <w:t xml:space="preserve">Documents. </w:t>
      </w:r>
      <w:r>
        <w:rPr>
          <w:rFonts w:ascii="Calibri" w:cs="Calibri" w:eastAsia="Calibri" w:hAnsi="Calibri"/>
          <w:sz w:val="21"/>
          <w:szCs w:val="21"/>
        </w:rPr>
        <w:t xml:space="preserve">The applicant uploads the documents the product requires, such as photo ID, proof of address, payslip or tax return, bank statements and a contract of sale. Each is checked to be the right kind of document and is read. A digital bank statement PDF is read directly from its text, and is only accepted if every line adds up to the closing balance; anything else is read by AI. The values are compared with the applicant’s answers (name, date of birth, address, employer, and for some products income, price or mortgage balance). Bank statement transactions are sorted into spending categories. At present the comparison results are shown to staff as match or mismatch but do not yet change the outcome.</w:t>
      </w:r>
    </w:p>
    <w:p>
      <w:pPr>
        <w:pStyle w:val="ListParagraph"/>
        <w:numPr>
          <w:ilvl w:val="0"/>
          <w:numId w:val="3"/>
        </w:numPr>
        <w:spacing w:after="140" w:line="276"/>
      </w:pPr>
      <w:r>
        <w:rPr>
          <w:rFonts w:ascii="Calibri" w:cs="Calibri" w:eastAsia="Calibri" w:hAnsi="Calibri"/>
          <w:b/>
          <w:bCs/>
          <w:sz w:val="21"/>
          <w:szCs w:val="21"/>
        </w:rPr>
        <w:t xml:space="preserve">Credit check. </w:t>
      </w:r>
      <w:r>
        <w:rPr>
          <w:rFonts w:ascii="Calibri" w:cs="Calibri" w:eastAsia="Calibri" w:hAnsi="Calibri"/>
          <w:sz w:val="21"/>
          <w:szCs w:val="21"/>
        </w:rPr>
        <w:t xml:space="preserve">Only if the applicant has given consent, the platform requests a credit report using their name and date of birth. Without consent, no request is made and the Character measures wait.</w:t>
      </w:r>
    </w:p>
    <w:p>
      <w:pPr>
        <w:pStyle w:val="ListParagraph"/>
        <w:numPr>
          <w:ilvl w:val="0"/>
          <w:numId w:val="3"/>
        </w:numPr>
        <w:spacing w:after="140" w:line="276"/>
      </w:pPr>
      <w:r>
        <w:rPr>
          <w:rFonts w:ascii="Calibri" w:cs="Calibri" w:eastAsia="Calibri" w:hAnsi="Calibri"/>
          <w:b/>
          <w:bCs/>
          <w:sz w:val="21"/>
          <w:szCs w:val="21"/>
        </w:rPr>
        <w:t xml:space="preserve">Bank settings are loaded. </w:t>
      </w:r>
      <w:r>
        <w:rPr>
          <w:rFonts w:ascii="Calibri" w:cs="Calibri" w:eastAsia="Calibri" w:hAnsi="Calibri"/>
          <w:sz w:val="21"/>
          <w:szCs w:val="21"/>
        </w:rPr>
        <w:t xml:space="preserve">The product’s terms (interest rate, minimum and maximum amount and term, maximum LVR, secured or not), the bank’s policy settings (shading, benchmarks, rate buffer, conditions policy) and the bank’s rules.</w:t>
      </w:r>
    </w:p>
    <w:p>
      <w:pPr>
        <w:pStyle w:val="ListParagraph"/>
        <w:numPr>
          <w:ilvl w:val="0"/>
          <w:numId w:val="3"/>
        </w:numPr>
        <w:spacing w:after="140" w:line="276"/>
      </w:pPr>
      <w:r>
        <w:rPr>
          <w:rFonts w:ascii="Calibri" w:cs="Calibri" w:eastAsia="Calibri" w:hAnsi="Calibri"/>
          <w:b/>
          <w:bCs/>
          <w:sz w:val="21"/>
          <w:szCs w:val="21"/>
        </w:rPr>
        <w:t xml:space="preserve">The 52 measures are worked out. </w:t>
      </w:r>
      <w:r>
        <w:rPr>
          <w:rFonts w:ascii="Calibri" w:cs="Calibri" w:eastAsia="Calibri" w:hAnsi="Calibri"/>
          <w:sz w:val="21"/>
          <w:szCs w:val="21"/>
        </w:rPr>
        <w:t xml:space="preserve">In five groups, each with a value, a unit, a source and the inputs behind it. Sections 4 to 8 describe every one.</w:t>
      </w:r>
    </w:p>
    <w:p>
      <w:pPr>
        <w:pStyle w:val="ListParagraph"/>
        <w:numPr>
          <w:ilvl w:val="0"/>
          <w:numId w:val="3"/>
        </w:numPr>
        <w:spacing w:after="140" w:line="276"/>
      </w:pPr>
      <w:r>
        <w:rPr>
          <w:rFonts w:ascii="Calibri" w:cs="Calibri" w:eastAsia="Calibri" w:hAnsi="Calibri"/>
          <w:b/>
          <w:bCs/>
          <w:sz w:val="21"/>
          <w:szCs w:val="21"/>
        </w:rPr>
        <w:t xml:space="preserve">The rules are applied. </w:t>
      </w:r>
      <w:r>
        <w:rPr>
          <w:rFonts w:ascii="Calibri" w:cs="Calibri" w:eastAsia="Calibri" w:hAnsi="Calibri"/>
          <w:sz w:val="21"/>
          <w:szCs w:val="21"/>
        </w:rPr>
        <w:t xml:space="preserve">Each rule lists the measures it needs and a test. If a needed measure is not applicable, the rule is skipped. If it is waiting, the rule waits. Otherwise the test is run, and a rule that fires records its message and the values that triggered it.</w:t>
      </w:r>
    </w:p>
    <w:p>
      <w:pPr>
        <w:pStyle w:val="ListParagraph"/>
        <w:numPr>
          <w:ilvl w:val="0"/>
          <w:numId w:val="3"/>
        </w:numPr>
        <w:spacing w:after="140" w:line="276"/>
      </w:pPr>
      <w:r>
        <w:rPr>
          <w:rFonts w:ascii="Calibri" w:cs="Calibri" w:eastAsia="Calibri" w:hAnsi="Calibri"/>
          <w:b/>
          <w:bCs/>
          <w:sz w:val="21"/>
          <w:szCs w:val="21"/>
        </w:rPr>
        <w:t xml:space="preserve">The outcome is decided. </w:t>
      </w:r>
      <w:r>
        <w:rPr>
          <w:rFonts w:ascii="Calibri" w:cs="Calibri" w:eastAsia="Calibri" w:hAnsi="Calibri"/>
          <w:sz w:val="21"/>
          <w:szCs w:val="21"/>
        </w:rPr>
        <w:t xml:space="preserve">Any failed rule gives Decline recommended. Otherwise any waiting rule gives Conditional. Otherwise any flag gives Underwriter review. Otherwise the result is Auto-eligible.</w:t>
      </w:r>
    </w:p>
    <w:p>
      <w:pPr>
        <w:pStyle w:val="ListParagraph"/>
        <w:numPr>
          <w:ilvl w:val="0"/>
          <w:numId w:val="3"/>
        </w:numPr>
        <w:spacing w:after="140" w:line="276"/>
      </w:pPr>
      <w:r>
        <w:rPr>
          <w:rFonts w:ascii="Calibri" w:cs="Calibri" w:eastAsia="Calibri" w:hAnsi="Calibri"/>
          <w:b/>
          <w:bCs/>
          <w:sz w:val="21"/>
          <w:szCs w:val="21"/>
        </w:rPr>
        <w:t xml:space="preserve">Conditions of approval are listed. </w:t>
      </w:r>
      <w:r>
        <w:rPr>
          <w:rFonts w:ascii="Calibri" w:cs="Calibri" w:eastAsia="Calibri" w:hAnsi="Calibri"/>
          <w:sz w:val="21"/>
          <w:szCs w:val="21"/>
        </w:rPr>
        <w:t xml:space="preserve">From the product, the answers and the rules that fired, the platform lists what must be in place before settlement (section 9). A recommended decline has none.</w:t>
      </w:r>
    </w:p>
    <w:p>
      <w:pPr>
        <w:pStyle w:val="ListParagraph"/>
        <w:numPr>
          <w:ilvl w:val="0"/>
          <w:numId w:val="3"/>
        </w:numPr>
        <w:spacing w:after="140" w:line="276"/>
      </w:pPr>
      <w:r>
        <w:rPr>
          <w:rFonts w:ascii="Calibri" w:cs="Calibri" w:eastAsia="Calibri" w:hAnsi="Calibri"/>
          <w:b/>
          <w:bCs/>
          <w:sz w:val="21"/>
          <w:szCs w:val="21"/>
        </w:rPr>
        <w:t xml:space="preserve">The result is recorded. </w:t>
      </w:r>
      <w:r>
        <w:rPr>
          <w:rFonts w:ascii="Calibri" w:cs="Calibri" w:eastAsia="Calibri" w:hAnsi="Calibri"/>
          <w:sz w:val="21"/>
          <w:szCs w:val="21"/>
        </w:rPr>
        <w:t xml:space="preserve">The measures, rule results and outcome are saved against the application, and a staff member’s decision is recorded separately.</w:t>
      </w:r>
    </w:p>
    <w:p>
      <w:pPr>
        <w:pStyle w:val="Heading2"/>
        <w:keepNext/>
        <w:spacing w:after="120" w:before="280"/>
      </w:pPr>
      <w:r>
        <w:t xml:space="preserve">How a rule reads</w:t>
      </w:r>
    </w:p>
    <w:p>
      <w:pPr>
        <w:spacing w:after="120" w:line="276"/>
      </w:pPr>
      <w:r>
        <w:rPr>
          <w:rFonts w:ascii="Calibri" w:cs="Calibri" w:eastAsia="Calibri" w:hAnsi="Calibri"/>
          <w:sz w:val="21"/>
          <w:szCs w:val="21"/>
        </w:rPr>
        <w:t xml:space="preserve">A rule is a small, readable test. For example, the rule that fails an application when repayments are not covered says: it needs the NSR measure, it fires when NSR is below 1.0, and its result is Fail with the message “Surplus doesn’t cover the proposed repayment”. Bank staff can see the rule and the values, and rules are stored as settings, not buried in code.</w:t>
      </w:r>
    </w:p>
    <w:p>
      <w:pPr>
        <w:pStyle w:val="Heading1"/>
        <w:pageBreakBefore/>
        <w:spacing w:after="200" w:before="0"/>
      </w:pPr>
      <w:r>
        <w:t xml:space="preserve">4. Capacity: can they afford the repayments?</w:t>
      </w:r>
    </w:p>
    <w:p>
      <w:pPr>
        <w:spacing w:after="120" w:line="276"/>
      </w:pPr>
      <w:r>
        <w:rPr>
          <w:rFonts w:ascii="Calibri" w:cs="Calibri" w:eastAsia="Calibri" w:hAnsi="Calibri"/>
          <w:sz w:val="21"/>
          <w:szCs w:val="21"/>
        </w:rPr>
        <w:t xml:space="preserve">Capacity asks whether the applicant’s income can carry the new repayment on top of their living costs and existing debts. The measures below build up to a monthly surplus. Affordability is judged on take-home pay, because that is what repayments actually come out of.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650"/>
        <w:gridCol w:w="4638"/>
      </w:tblGrid>
      <w:tr>
        <w:trPr>
          <w:cantSplit/>
          <w:tblHeader/>
        </w:trPr>
        <w:tc>
          <w:tcPr>
            <w:tcW w:type="dxa" w:w="235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Measure</w:t>
            </w:r>
          </w:p>
        </w:tc>
        <w:tc>
          <w:tcPr>
            <w:tcW w:type="dxa" w:w="265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Where the value comes from</w:t>
            </w:r>
          </w:p>
        </w:tc>
        <w:tc>
          <w:tcPr>
            <w:tcW w:type="dxa" w:w="4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How the value is worked out</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Gross annual income</w:t>
            </w:r>
          </w:p>
          <w:p>
            <w:pPr>
              <w:spacing w:after="60"/>
            </w:pPr>
            <w:r>
              <w:rPr>
                <w:rFonts w:ascii="Consolas" w:cs="Consolas" w:eastAsia="Consolas" w:hAnsi="Consolas"/>
                <w:color w:val="7A8494"/>
                <w:sz w:val="15"/>
                <w:szCs w:val="15"/>
              </w:rPr>
              <w:t xml:space="preserve">gross_annual_income</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p>
          <w:p>
            <w:pPr>
              <w:spacing w:after="60"/>
            </w:pPr>
            <w:r>
              <w:rPr>
                <w:rFonts w:ascii="Calibri" w:cs="Calibri" w:eastAsia="Calibri" w:hAnsi="Calibri"/>
                <w:color w:val="5A6472"/>
                <w:sz w:val="18"/>
                <w:szCs w:val="18"/>
              </w:rPr>
              <w:t xml:space="preserve">Interview question “Gross annual income”, before tax.</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Copied exactly as the applicant states it. For home loans, a payslip or tax return is also read and compared with it, allowing a 5% difference.</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Assessed annual income (after shading)</w:t>
            </w:r>
          </w:p>
          <w:p>
            <w:pPr>
              <w:spacing w:after="60"/>
            </w:pPr>
            <w:r>
              <w:rPr>
                <w:rFonts w:ascii="Consolas" w:cs="Consolas" w:eastAsia="Consolas" w:hAnsi="Consolas"/>
                <w:color w:val="7A8494"/>
                <w:sz w:val="15"/>
                <w:szCs w:val="15"/>
              </w:rPr>
              <w:t xml:space="preserve">shaded_income</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FBEACB" w:color="auto" w:val="clear"/>
              </w:rPr>
              <w:t xml:space="preserve"> Bank policy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Gross income, and the bank’s shading rate for the applicant’s employment type.</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Gross income × shading rate. Shading counts less secure income at less than face value: full-time and part-time at 100%, casual and self-employed at 80% (placeholder rates).</w:t>
            </w:r>
          </w:p>
          <w:p>
            <w:pPr>
              <w:spacing w:after="60"/>
            </w:pPr>
            <w:r>
              <w:rPr>
                <w:rFonts w:ascii="Calibri" w:cs="Calibri" w:eastAsia="Calibri" w:hAnsi="Calibri"/>
                <w:sz w:val="18"/>
                <w:szCs w:val="18"/>
              </w:rPr>
              <w:t xml:space="preserve">Rounded to whole dollars. Used for the debt ratios (DTI and DSR).</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Declared take-home pay, per month</w:t>
            </w:r>
          </w:p>
          <w:p>
            <w:pPr>
              <w:spacing w:after="60"/>
            </w:pPr>
            <w:r>
              <w:rPr>
                <w:rFonts w:ascii="Consolas" w:cs="Consolas" w:eastAsia="Consolas" w:hAnsi="Consolas"/>
                <w:color w:val="7A8494"/>
                <w:sz w:val="15"/>
                <w:szCs w:val="15"/>
              </w:rPr>
              <w:t xml:space="preserve">net_monthly_income</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p>
          <w:p>
            <w:pPr>
              <w:spacing w:after="60"/>
            </w:pPr>
            <w:r>
              <w:rPr>
                <w:rFonts w:ascii="Calibri" w:cs="Calibri" w:eastAsia="Calibri" w:hAnsi="Calibri"/>
                <w:color w:val="5A6472"/>
                <w:sz w:val="18"/>
                <w:szCs w:val="18"/>
              </w:rPr>
              <w:t xml:space="preserve">Interview questions “Net income per pay period” and its frequency.</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Pay amount × pay periods per year ÷ 12 (weekly 52, fortnightly 26, monthly 12, annually 1). For example, $2,000 every fortnight is $4,333.33 a month.</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Assessed take-home pay (after shading)</w:t>
            </w:r>
          </w:p>
          <w:p>
            <w:pPr>
              <w:spacing w:after="60"/>
            </w:pPr>
            <w:r>
              <w:rPr>
                <w:rFonts w:ascii="Consolas" w:cs="Consolas" w:eastAsia="Consolas" w:hAnsi="Consolas"/>
                <w:color w:val="7A8494"/>
                <w:sz w:val="15"/>
                <w:szCs w:val="15"/>
              </w:rPr>
              <w:t xml:space="preserve">assessed_net_income</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FBEACB" w:color="auto" w:val="clear"/>
              </w:rPr>
              <w:t xml:space="preserve"> Bank policy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Declared take-home pay and the bank’s shading rate.</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Declared take-home × the same shading rate. This is the income repayments are paid from, and the figure affordability is built on.</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Take-home as a share of gross income</w:t>
            </w:r>
          </w:p>
          <w:p>
            <w:pPr>
              <w:spacing w:after="60"/>
            </w:pPr>
            <w:r>
              <w:rPr>
                <w:rFonts w:ascii="Consolas" w:cs="Consolas" w:eastAsia="Consolas" w:hAnsi="Consolas"/>
                <w:color w:val="7A8494"/>
                <w:sz w:val="15"/>
                <w:szCs w:val="15"/>
              </w:rPr>
              <w:t xml:space="preserve">net_to_gross_ratio</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Declared take-home pay and declared gross income.</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Annual take-home ÷ annual gross income, to three decimals. A sanity check on the take-home figure: after tax it is normally well under 100% of gross.</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Declared living expenses</w:t>
            </w:r>
          </w:p>
          <w:p>
            <w:pPr>
              <w:spacing w:after="60"/>
            </w:pPr>
            <w:r>
              <w:rPr>
                <w:rFonts w:ascii="Consolas" w:cs="Consolas" w:eastAsia="Consolas" w:hAnsi="Consolas"/>
                <w:color w:val="7A8494"/>
                <w:sz w:val="15"/>
                <w:szCs w:val="15"/>
              </w:rPr>
              <w:t xml:space="preserve">declared_expenses</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p>
          <w:p>
            <w:pPr>
              <w:spacing w:after="60"/>
            </w:pPr>
            <w:r>
              <w:rPr>
                <w:rFonts w:ascii="Calibri" w:cs="Calibri" w:eastAsia="Calibri" w:hAnsi="Calibri"/>
                <w:color w:val="5A6472"/>
                <w:sz w:val="18"/>
                <w:szCs w:val="18"/>
              </w:rPr>
              <w:t xml:space="preserve">Ten monthly expense questions: food and groceries, rent or board, insurance, clothing and personal care, recreation and holidays, education and childcare, medical and health, other housing costs, phone/internet/media, vehicle and transport.</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sum of every answer given, using the applicant’s own share of each cost. Left unavailable if none are given.</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Expenses seen in the bank statement</w:t>
            </w:r>
          </w:p>
          <w:p>
            <w:pPr>
              <w:spacing w:after="60"/>
            </w:pPr>
            <w:r>
              <w:rPr>
                <w:rFonts w:ascii="Consolas" w:cs="Consolas" w:eastAsia="Consolas" w:hAnsi="Consolas"/>
                <w:color w:val="7A8494"/>
                <w:sz w:val="15"/>
                <w:szCs w:val="15"/>
              </w:rPr>
              <w:t xml:space="preserve">verified_expenses</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5F0DD" w:color="auto" w:val="clear"/>
              </w:rPr>
              <w:t xml:space="preserve"> Bank statement </w:t>
            </w:r>
          </w:p>
          <w:p>
            <w:pPr>
              <w:spacing w:after="60"/>
            </w:pPr>
            <w:r>
              <w:rPr>
                <w:rFonts w:ascii="Calibri" w:cs="Calibri" w:eastAsia="Calibri" w:hAnsi="Calibri"/>
                <w:color w:val="5A6472"/>
                <w:sz w:val="18"/>
                <w:szCs w:val="18"/>
              </w:rPr>
              <w:t xml:space="preserve">Transactions on the uploaded bank statement, sorted into the same ten categories.</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sum of all debits that fall into those categories over the statement period. Transfers, gifts and other non-spending lines are left out.</w:t>
            </w:r>
          </w:p>
          <w:p>
            <w:pPr>
              <w:spacing w:after="60"/>
            </w:pPr>
            <w:r>
              <w:rPr>
                <w:rFonts w:ascii="Calibri" w:cs="Calibri" w:eastAsia="Calibri" w:hAnsi="Calibri"/>
                <w:sz w:val="18"/>
                <w:szCs w:val="18"/>
              </w:rPr>
              <w:t xml:space="preserve">An AI step sorts each transaction into a category from a fixed list; ordinary code then adds them up.</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Benchmark living expenses</w:t>
            </w:r>
          </w:p>
          <w:p>
            <w:pPr>
              <w:spacing w:after="60"/>
            </w:pPr>
            <w:r>
              <w:rPr>
                <w:rFonts w:ascii="Consolas" w:cs="Consolas" w:eastAsia="Consolas" w:hAnsi="Consolas"/>
                <w:color w:val="7A8494"/>
                <w:sz w:val="15"/>
                <w:szCs w:val="15"/>
              </w:rPr>
              <w:t xml:space="preserve">hem_benchmark</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Household size from the interview (dependants, plus 1 for a single applicant or 2 for a couple), and the bank’s benchmark table.</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Looked up by household size, capped at 5 people: $2,200, $3,100, $3,700, $4,200, $4,700 a month for 1 to 5 people (placeholder values). It stops living costs being understated.</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Assessed living expenses</w:t>
            </w:r>
          </w:p>
          <w:p>
            <w:pPr>
              <w:spacing w:after="60"/>
            </w:pPr>
            <w:r>
              <w:rPr>
                <w:rFonts w:ascii="Consolas" w:cs="Consolas" w:eastAsia="Consolas" w:hAnsi="Consolas"/>
                <w:color w:val="7A8494"/>
                <w:sz w:val="15"/>
                <w:szCs w:val="15"/>
              </w:rPr>
              <w:t xml:space="preserve">assessed_living_expenses</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The three expense figures above.</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highest of declared expenses, statement expenses and the benchmark, using whichever are available.</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Existing commitments</w:t>
            </w:r>
          </w:p>
          <w:p>
            <w:pPr>
              <w:spacing w:after="60"/>
            </w:pPr>
            <w:r>
              <w:rPr>
                <w:rFonts w:ascii="Consolas" w:cs="Consolas" w:eastAsia="Consolas" w:hAnsi="Consolas"/>
                <w:color w:val="7A8494"/>
                <w:sz w:val="15"/>
                <w:szCs w:val="15"/>
              </w:rPr>
              <w:t xml:space="preserve">existing_commitments</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Interview: other loan repayments per month, and total credit card limits.</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Other loan repayments + 3% of total card limits, per month. Cards count on their limit, not their balance, because the limit could be spent at any time.</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Assessment interest rate</w:t>
            </w:r>
          </w:p>
          <w:p>
            <w:pPr>
              <w:spacing w:after="60"/>
            </w:pPr>
            <w:r>
              <w:rPr>
                <w:rFonts w:ascii="Consolas" w:cs="Consolas" w:eastAsia="Consolas" w:hAnsi="Consolas"/>
                <w:color w:val="7A8494"/>
                <w:sz w:val="15"/>
                <w:szCs w:val="15"/>
              </w:rPr>
              <w:t xml:space="preserve">assessment_rate</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The product’s interest rate, and the bank’s rate buffer.</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Product rate + buffer of 3 percentage points (placeholder). Repayments are tested at a higher rate than the applicant will pay, to allow for rate rises. For example, 9.99% + 3.00 = 12.99%.</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Proposed monthly repayment</w:t>
            </w:r>
          </w:p>
          <w:p>
            <w:pPr>
              <w:spacing w:after="60"/>
            </w:pPr>
            <w:r>
              <w:rPr>
                <w:rFonts w:ascii="Consolas" w:cs="Consolas" w:eastAsia="Consolas" w:hAnsi="Consolas"/>
                <w:color w:val="7A8494"/>
                <w:sz w:val="15"/>
                <w:szCs w:val="15"/>
              </w:rPr>
              <w:t xml:space="preserve">proposed_repayment</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FBEACB" w:color="auto" w:val="clear"/>
              </w:rPr>
              <w:t xml:space="preserve"> Bank policy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Interview: loan amount and term. The assessment rate above.</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standard loan repayment formula (principal and interest, paid monthly) on the requested amount and term, at the assessment rate.</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Monthly surplus</w:t>
            </w:r>
          </w:p>
          <w:p>
            <w:pPr>
              <w:spacing w:after="60"/>
            </w:pPr>
            <w:r>
              <w:rPr>
                <w:rFonts w:ascii="Consolas" w:cs="Consolas" w:eastAsia="Consolas" w:hAnsi="Consolas"/>
                <w:color w:val="7A8494"/>
                <w:sz w:val="15"/>
                <w:szCs w:val="15"/>
              </w:rPr>
              <w:t xml:space="preserve">monthly_surplus</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Measures above.</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Assessed take-home pay − assessed living expenses − existing commitments − proposed repayment. What is left each month after everything, including the new loan.</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Net surplus ratio (NSR)</w:t>
            </w:r>
          </w:p>
          <w:p>
            <w:pPr>
              <w:spacing w:after="60"/>
            </w:pPr>
            <w:r>
              <w:rPr>
                <w:rFonts w:ascii="Consolas" w:cs="Consolas" w:eastAsia="Consolas" w:hAnsi="Consolas"/>
                <w:color w:val="7A8494"/>
                <w:sz w:val="15"/>
                <w:szCs w:val="15"/>
              </w:rPr>
              <w:t xml:space="preserve">nsr</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Monthly surplus and proposed repayment.</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Monthly surplus ÷ proposed repayment. It shows how many times the spare money covers the new repayment. Below 1.0 means the new repayment cannot be met.</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Debt-to-income ratio (DTI)</w:t>
            </w:r>
          </w:p>
          <w:p>
            <w:pPr>
              <w:spacing w:after="60"/>
            </w:pPr>
            <w:r>
              <w:rPr>
                <w:rFonts w:ascii="Consolas" w:cs="Consolas" w:eastAsia="Consolas" w:hAnsi="Consolas"/>
                <w:color w:val="7A8494"/>
                <w:sz w:val="15"/>
                <w:szCs w:val="15"/>
              </w:rPr>
              <w:t xml:space="preserve">dti</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Existing commitments, proposed repayment, assessed annual income.</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(Existing commitments + proposed repayment) × 12 ÷ assessed annual income. The share of gross income that goes to debt repayments.</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Debt service ratio (DSR)</w:t>
            </w:r>
          </w:p>
          <w:p>
            <w:pPr>
              <w:spacing w:after="60"/>
            </w:pPr>
            <w:r>
              <w:rPr>
                <w:rFonts w:ascii="Consolas" w:cs="Consolas" w:eastAsia="Consolas" w:hAnsi="Consolas"/>
                <w:color w:val="7A8494"/>
                <w:sz w:val="15"/>
                <w:szCs w:val="15"/>
              </w:rPr>
              <w:t xml:space="preserve">dsr</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Existing commitments, proposed repayment, assessed annual income.</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(Existing commitments + proposed repayment) ÷ assessed monthly income. This is the same idea as DTI on a monthly basis, so the two currently give the same figure.</w:t>
            </w:r>
          </w:p>
        </w:tc>
      </w:tr>
    </w:tbl>
    <w:p>
      <w:pPr>
        <w:pStyle w:val="Heading2"/>
        <w:keepNext/>
        <w:spacing w:after="120" w:before="280"/>
      </w:pPr>
      <w:r>
        <w:t xml:space="preserve">Rules that use these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200"/>
        <w:gridCol w:w="2638"/>
      </w:tblGrid>
      <w:tr>
        <w:trPr>
          <w:cantSplit/>
          <w:tblHeader/>
        </w:trPr>
        <w:tc>
          <w:tcPr>
            <w:tcW w:type="dxa" w:w="2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Rule</w:t>
            </w:r>
          </w:p>
        </w:tc>
        <w:tc>
          <w:tcPr>
            <w:tcW w:type="dxa" w:w="3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It fires when</w:t>
            </w:r>
          </w:p>
        </w:tc>
        <w:tc>
          <w:tcPr>
            <w:tcW w:type="dxa" w:w="1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Result</w:t>
            </w:r>
          </w:p>
        </w:tc>
        <w:tc>
          <w:tcPr>
            <w:tcW w:type="dxa" w:w="2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What it protects against</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NSR below minimum</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NSR is below 1.0</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spare money each month does not cover the new repayment.</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NSR with little buffer</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NSR is 1.0 or more but under 1.2</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Repayments are covered, but a small change could make them unaffordable.</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Negative surplus</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Monthly surplus is below zero</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After all costs and the new repayment the applicant is short every month.</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High debt-to-income</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DTI is above 0.45</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Debt repayments would take more than 45% of gross income.</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Take-home out of line with gross</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Gross income is over $30,000 and take-home is above 95% or below 50% of it</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Affordability depends on the declared take-home figure, so an odd figure needs checking. Very low incomes are exempt.</w:t>
            </w:r>
          </w:p>
        </w:tc>
      </w:tr>
    </w:tbl>
    <w:p>
      <w:pPr>
        <w:pBdr>
          <w:left w:val="single" w:color="2E6DA4" w:sz="18" w:space="8"/>
        </w:pBdr>
        <w:shd w:fill="EEF4FB" w:color="auto" w:val="clear"/>
        <w:spacing w:after="180" w:before="120" w:line="276"/>
        <w:ind w:left="200"/>
      </w:pPr>
      <w:r>
        <w:rPr>
          <w:rFonts w:ascii="Calibri" w:cs="Calibri" w:eastAsia="Calibri" w:hAnsi="Calibri"/>
          <w:b/>
          <w:bCs/>
          <w:sz w:val="21"/>
          <w:szCs w:val="21"/>
        </w:rPr>
        <w:t xml:space="preserve">Good to know. </w:t>
      </w:r>
      <w:r>
        <w:rPr>
          <w:rFonts w:ascii="Calibri" w:cs="Calibri" w:eastAsia="Calibri" w:hAnsi="Calibri"/>
          <w:sz w:val="21"/>
          <w:szCs w:val="21"/>
        </w:rPr>
        <w:t xml:space="preserve">Statement expenses are added up over the whole statement period and are compared as though they were one month, so a statement covering several months would overstate spending until this is adjusted.</w:t>
      </w:r>
    </w:p>
    <w:p>
      <w:pPr>
        <w:pStyle w:val="Heading1"/>
        <w:pageBreakBefore/>
        <w:spacing w:after="200" w:before="0"/>
      </w:pPr>
      <w:r>
        <w:t xml:space="preserve">5. Capital: what do they put in and own?</w:t>
      </w:r>
    </w:p>
    <w:p>
      <w:pPr>
        <w:spacing w:after="120" w:line="276"/>
      </w:pPr>
      <w:r>
        <w:rPr>
          <w:rFonts w:ascii="Calibri" w:cs="Calibri" w:eastAsia="Calibri" w:hAnsi="Calibri"/>
          <w:sz w:val="21"/>
          <w:szCs w:val="21"/>
        </w:rPr>
        <w:t xml:space="preserve">Capital looks at the applicant’s own stake: the deposit they are putting in, and what they own compared with what they owe.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650"/>
        <w:gridCol w:w="4638"/>
      </w:tblGrid>
      <w:tr>
        <w:trPr>
          <w:cantSplit/>
          <w:tblHeader/>
        </w:trPr>
        <w:tc>
          <w:tcPr>
            <w:tcW w:type="dxa" w:w="235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Measure</w:t>
            </w:r>
          </w:p>
        </w:tc>
        <w:tc>
          <w:tcPr>
            <w:tcW w:type="dxa" w:w="265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Where the value comes from</w:t>
            </w:r>
          </w:p>
        </w:tc>
        <w:tc>
          <w:tcPr>
            <w:tcW w:type="dxa" w:w="4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How the value is worked out</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Deposit</w:t>
            </w:r>
          </w:p>
          <w:p>
            <w:pPr>
              <w:spacing w:after="60"/>
            </w:pPr>
            <w:r>
              <w:rPr>
                <w:rFonts w:ascii="Consolas" w:cs="Consolas" w:eastAsia="Consolas" w:hAnsi="Consolas"/>
                <w:color w:val="7A8494"/>
                <w:sz w:val="15"/>
                <w:szCs w:val="15"/>
              </w:rPr>
              <w:t xml:space="preserve">deposit_amount</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p>
          <w:p>
            <w:pPr>
              <w:spacing w:after="60"/>
            </w:pPr>
            <w:r>
              <w:rPr>
                <w:rFonts w:ascii="Calibri" w:cs="Calibri" w:eastAsia="Calibri" w:hAnsi="Calibri"/>
                <w:color w:val="5A6472"/>
                <w:sz w:val="18"/>
                <w:szCs w:val="18"/>
              </w:rPr>
              <w:t xml:space="preserve">Interview: “Deposit available” (home loans) or “Trade-in or deposit” (vehicle loans).</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Copied as stated, together with the deposit source (savings, gift and so on). Not applicable to personal or business loans.</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Contribution to the purchase</w:t>
            </w:r>
          </w:p>
          <w:p>
            <w:pPr>
              <w:spacing w:after="60"/>
            </w:pPr>
            <w:r>
              <w:rPr>
                <w:rFonts w:ascii="Consolas" w:cs="Consolas" w:eastAsia="Consolas" w:hAnsi="Consolas"/>
                <w:color w:val="7A8494"/>
                <w:sz w:val="15"/>
                <w:szCs w:val="15"/>
              </w:rPr>
              <w:t xml:space="preserve">contribution_pct</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Deposit, and the property price or vehicle purchase price the applicant gave.</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Deposit ÷ purchase price × 100. Unavailable if the price is missing or zero. Not applicable where there is no deposit.</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Minimum contribution required</w:t>
            </w:r>
          </w:p>
          <w:p>
            <w:pPr>
              <w:spacing w:after="60"/>
            </w:pPr>
            <w:r>
              <w:rPr>
                <w:rFonts w:ascii="Consolas" w:cs="Consolas" w:eastAsia="Consolas" w:hAnsi="Consolas"/>
                <w:color w:val="7A8494"/>
                <w:sz w:val="15"/>
                <w:szCs w:val="15"/>
              </w:rPr>
              <w:t xml:space="preserve">required_contribution_pct</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The product’s maximum LVR (loan-to-value ratio).</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100 − the product’s maximum LVR. A home loan with a 95% maximum LVR needs at least a 5% contribution. Not applicable to products without a maximum LVR.</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Regular money in (from the statement)</w:t>
            </w:r>
          </w:p>
          <w:p>
            <w:pPr>
              <w:spacing w:after="60"/>
            </w:pPr>
            <w:r>
              <w:rPr>
                <w:rFonts w:ascii="Consolas" w:cs="Consolas" w:eastAsia="Consolas" w:hAnsi="Consolas"/>
                <w:color w:val="7A8494"/>
                <w:sz w:val="15"/>
                <w:szCs w:val="15"/>
              </w:rPr>
              <w:t xml:space="preserve">genuine_savings</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5F0DD" w:color="auto" w:val="clear"/>
              </w:rPr>
              <w:t xml:space="preserve"> Bank statement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Credits on the uploaded bank statement.</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sum of credits other than transfers, leaving out any single credit larger than half of all credits (treated as a one-off lump sum such as a gift). Shown per statement period.</w:t>
            </w:r>
          </w:p>
          <w:p>
            <w:pPr>
              <w:spacing w:after="60"/>
            </w:pPr>
            <w:r>
              <w:rPr>
                <w:rFonts w:ascii="Calibri" w:cs="Calibri" w:eastAsia="Calibri" w:hAnsi="Calibri"/>
                <w:sz w:val="18"/>
                <w:szCs w:val="18"/>
              </w:rPr>
              <w:t xml:space="preserve">It is shown for information. No rule uses it yet.</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Net asset position</w:t>
            </w:r>
          </w:p>
          <w:p>
            <w:pPr>
              <w:spacing w:after="60"/>
            </w:pPr>
            <w:r>
              <w:rPr>
                <w:rFonts w:ascii="Consolas" w:cs="Consolas" w:eastAsia="Consolas" w:hAnsi="Consolas"/>
                <w:color w:val="7A8494"/>
                <w:sz w:val="15"/>
                <w:szCs w:val="15"/>
              </w:rPr>
              <w:t xml:space="preserve">net_asset_position</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Interview answers about savings, property, vehicles, shares, mortgage, card balances and HECS/HELP.</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Savings + property + vehicles + shares and funds − mortgage − credit card balances − HECS/HELP. Optional items left blank count as zero, but savings must be answered. Other loan balances are not collected, so debts can be understated.</w:t>
            </w:r>
          </w:p>
        </w:tc>
      </w:tr>
    </w:tbl>
    <w:p>
      <w:pPr>
        <w:pStyle w:val="Heading2"/>
        <w:keepNext/>
        <w:spacing w:after="120" w:before="280"/>
      </w:pPr>
      <w:r>
        <w:t xml:space="preserve">Rules that use these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200"/>
        <w:gridCol w:w="2638"/>
      </w:tblGrid>
      <w:tr>
        <w:trPr>
          <w:cantSplit/>
          <w:tblHeader/>
        </w:trPr>
        <w:tc>
          <w:tcPr>
            <w:tcW w:type="dxa" w:w="2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Rule</w:t>
            </w:r>
          </w:p>
        </w:tc>
        <w:tc>
          <w:tcPr>
            <w:tcW w:type="dxa" w:w="3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It fires when</w:t>
            </w:r>
          </w:p>
        </w:tc>
        <w:tc>
          <w:tcPr>
            <w:tcW w:type="dxa" w:w="1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Result</w:t>
            </w:r>
          </w:p>
        </w:tc>
        <w:tc>
          <w:tcPr>
            <w:tcW w:type="dxa" w:w="2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What it protects against</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Deposit below minimum</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Contribution is below the minimum required for the product</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bank’s own maximum LVR would be exceeded.</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Likely mortgage insurance</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Contribution meets the minimum but is under 20%</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Lenders mortgage insurance will probably be needed, which affects cost and approval.</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Liabilities exceed assets</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Net asset position is below zero</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applicant owes more than they own, on what they have declared.</w:t>
            </w:r>
          </w:p>
        </w:tc>
      </w:tr>
    </w:tbl>
    <w:p>
      <w:pPr>
        <w:pBdr>
          <w:left w:val="single" w:color="2E6DA4" w:sz="18" w:space="8"/>
        </w:pBdr>
        <w:shd w:fill="EEF4FB" w:color="auto" w:val="clear"/>
        <w:spacing w:after="180" w:before="120" w:line="276"/>
        <w:ind w:left="200"/>
      </w:pPr>
      <w:r>
        <w:rPr>
          <w:rFonts w:ascii="Calibri" w:cs="Calibri" w:eastAsia="Calibri" w:hAnsi="Calibri"/>
          <w:b/>
          <w:bCs/>
          <w:sz w:val="21"/>
          <w:szCs w:val="21"/>
        </w:rPr>
        <w:t xml:space="preserve">Good to know. </w:t>
      </w:r>
      <w:r>
        <w:rPr>
          <w:rFonts w:ascii="Calibri" w:cs="Calibri" w:eastAsia="Calibri" w:hAnsi="Calibri"/>
          <w:sz w:val="21"/>
          <w:szCs w:val="21"/>
        </w:rPr>
        <w:t xml:space="preserve">The deposit measures apply to home and vehicle loans only. Where the deposit came from (savings, a gift and so on) is kept, and a gifted deposit adds a condition of approval asking for a gift letter.</w:t>
      </w:r>
    </w:p>
    <w:p>
      <w:pPr>
        <w:pStyle w:val="Heading1"/>
        <w:pageBreakBefore/>
        <w:spacing w:after="200" w:before="0"/>
      </w:pPr>
      <w:r>
        <w:t xml:space="preserve">6. Character: how have they handled credit?</w:t>
      </w:r>
    </w:p>
    <w:p>
      <w:pPr>
        <w:spacing w:after="120" w:line="276"/>
      </w:pPr>
      <w:r>
        <w:rPr>
          <w:rFonts w:ascii="Calibri" w:cs="Calibri" w:eastAsia="Calibri" w:hAnsi="Calibri"/>
          <w:sz w:val="21"/>
          <w:szCs w:val="21"/>
        </w:rPr>
        <w:t xml:space="preserve">Character is judged from the applicant’s credit history. It is only assessed with the applicant’s consent. The platform asks a credit bureau for a report using the applicant’s name and date of birth. The bureau returns the raw file: a score, each account with its 24 months of repayment history, defaults, enquiries, bankruptcy and court records, and hardship arrangements. The platform then works out each measure itself from that file, so the bureau does not hand over ready-made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650"/>
        <w:gridCol w:w="4638"/>
      </w:tblGrid>
      <w:tr>
        <w:trPr>
          <w:cantSplit/>
          <w:tblHeader/>
        </w:trPr>
        <w:tc>
          <w:tcPr>
            <w:tcW w:type="dxa" w:w="235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Measure</w:t>
            </w:r>
          </w:p>
        </w:tc>
        <w:tc>
          <w:tcPr>
            <w:tcW w:type="dxa" w:w="265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Where the value comes from</w:t>
            </w:r>
          </w:p>
        </w:tc>
        <w:tc>
          <w:tcPr>
            <w:tcW w:type="dxa" w:w="4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How the value is worked out</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Credit score</w:t>
            </w:r>
          </w:p>
          <w:p>
            <w:pPr>
              <w:spacing w:after="60"/>
            </w:pPr>
            <w:r>
              <w:rPr>
                <w:rFonts w:ascii="Consolas" w:cs="Consolas" w:eastAsia="Consolas" w:hAnsi="Consolas"/>
                <w:color w:val="7A8494"/>
                <w:sz w:val="15"/>
                <w:szCs w:val="15"/>
              </w:rPr>
              <w:t xml:space="preserve">credit_score</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E6DAF5" w:color="auto" w:val="clear"/>
              </w:rPr>
              <w:t xml:space="preserve"> Credit bureau </w:t>
            </w:r>
          </w:p>
          <w:p>
            <w:pPr>
              <w:spacing w:after="60"/>
            </w:pPr>
            <w:r>
              <w:rPr>
                <w:rFonts w:ascii="Calibri" w:cs="Calibri" w:eastAsia="Calibri" w:hAnsi="Calibri"/>
                <w:color w:val="5A6472"/>
                <w:sz w:val="18"/>
                <w:szCs w:val="18"/>
              </w:rPr>
              <w:t xml:space="preserve">The credit report.</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Copied from the report, with the bureau’s band (excellent, very good, good, average, below average). The simulated bureau uses a 0 to 1200 scale.</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Worst arrears in the last 6 months</w:t>
            </w:r>
          </w:p>
          <w:p>
            <w:pPr>
              <w:spacing w:after="60"/>
            </w:pPr>
            <w:r>
              <w:rPr>
                <w:rFonts w:ascii="Consolas" w:cs="Consolas" w:eastAsia="Consolas" w:hAnsi="Consolas"/>
                <w:color w:val="7A8494"/>
                <w:sz w:val="15"/>
                <w:szCs w:val="15"/>
              </w:rPr>
              <w:t xml:space="preserve">worst_rhi_6mo</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6DAF5" w:color="auto" w:val="clear"/>
              </w:rPr>
              <w:t xml:space="preserve"> Credit bureau </w:t>
            </w:r>
          </w:p>
          <w:p>
            <w:pPr>
              <w:spacing w:after="60"/>
            </w:pPr>
            <w:r>
              <w:rPr>
                <w:rFonts w:ascii="Calibri" w:cs="Calibri" w:eastAsia="Calibri" w:hAnsi="Calibri"/>
                <w:color w:val="5A6472"/>
                <w:sz w:val="18"/>
                <w:szCs w:val="18"/>
              </w:rPr>
              <w:t xml:space="preserve">Each account’s monthly repayment history on the report.</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worst status of any account in the last 6 months: 0 up to date, 1 thirty days late, 2 sixty days, 3 ninety days or more.</w:t>
            </w:r>
          </w:p>
          <w:p>
            <w:pPr>
              <w:spacing w:after="60"/>
            </w:pPr>
            <w:r>
              <w:rPr>
                <w:rFonts w:ascii="Calibri" w:cs="Calibri" w:eastAsia="Calibri" w:hAnsi="Calibri"/>
                <w:sz w:val="18"/>
                <w:szCs w:val="18"/>
              </w:rPr>
              <w:t xml:space="preserve">Left unavailable when the file has no accounts, so a thin file is never shown as a misleading 0.</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Worst arrears in the last 24 months</w:t>
            </w:r>
          </w:p>
          <w:p>
            <w:pPr>
              <w:spacing w:after="60"/>
            </w:pPr>
            <w:r>
              <w:rPr>
                <w:rFonts w:ascii="Consolas" w:cs="Consolas" w:eastAsia="Consolas" w:hAnsi="Consolas"/>
                <w:color w:val="7A8494"/>
                <w:sz w:val="15"/>
                <w:szCs w:val="15"/>
              </w:rPr>
              <w:t xml:space="preserve">worst_rhi_24mo</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E6DAF5" w:color="auto" w:val="clear"/>
              </w:rPr>
              <w:t xml:space="preserve"> Credit bureau </w:t>
            </w:r>
          </w:p>
          <w:p>
            <w:pPr>
              <w:spacing w:after="60"/>
            </w:pPr>
            <w:r>
              <w:rPr>
                <w:rFonts w:ascii="Calibri" w:cs="Calibri" w:eastAsia="Calibri" w:hAnsi="Calibri"/>
                <w:color w:val="5A6472"/>
                <w:sz w:val="18"/>
                <w:szCs w:val="18"/>
              </w:rPr>
              <w:t xml:space="preserve">The same repayment histories.</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same measure over the last 24 months.</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Missed payments in the last 24 months</w:t>
            </w:r>
          </w:p>
          <w:p>
            <w:pPr>
              <w:spacing w:after="60"/>
            </w:pPr>
            <w:r>
              <w:rPr>
                <w:rFonts w:ascii="Consolas" w:cs="Consolas" w:eastAsia="Consolas" w:hAnsi="Consolas"/>
                <w:color w:val="7A8494"/>
                <w:sz w:val="15"/>
                <w:szCs w:val="15"/>
              </w:rPr>
              <w:t xml:space="preserve">missed_payment_count_24mo</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6DAF5" w:color="auto" w:val="clear"/>
              </w:rPr>
              <w:t xml:space="preserve"> Credit bureau </w:t>
            </w:r>
          </w:p>
          <w:p>
            <w:pPr>
              <w:spacing w:after="60"/>
            </w:pPr>
            <w:r>
              <w:rPr>
                <w:rFonts w:ascii="Calibri" w:cs="Calibri" w:eastAsia="Calibri" w:hAnsi="Calibri"/>
                <w:color w:val="5A6472"/>
                <w:sz w:val="18"/>
                <w:szCs w:val="18"/>
              </w:rPr>
              <w:t xml:space="preserve">The same repayment histories.</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number of account-months in the last 24 months where a payment was late (status 1 or worse).</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Unpaid defaults</w:t>
            </w:r>
          </w:p>
          <w:p>
            <w:pPr>
              <w:spacing w:after="60"/>
            </w:pPr>
            <w:r>
              <w:rPr>
                <w:rFonts w:ascii="Consolas" w:cs="Consolas" w:eastAsia="Consolas" w:hAnsi="Consolas"/>
                <w:color w:val="7A8494"/>
                <w:sz w:val="15"/>
                <w:szCs w:val="15"/>
              </w:rPr>
              <w:t xml:space="preserve">unpaid_defaults</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E6DAF5" w:color="auto" w:val="clear"/>
              </w:rPr>
              <w:t xml:space="preserve"> Credit bureau </w:t>
            </w:r>
          </w:p>
          <w:p>
            <w:pPr>
              <w:spacing w:after="60"/>
            </w:pPr>
            <w:r>
              <w:rPr>
                <w:rFonts w:ascii="Calibri" w:cs="Calibri" w:eastAsia="Calibri" w:hAnsi="Calibri"/>
                <w:color w:val="5A6472"/>
                <w:sz w:val="18"/>
                <w:szCs w:val="18"/>
              </w:rPr>
              <w:t xml:space="preserve">Defaults listed on the report.</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number of listed defaults that are still unpaid.</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Paid defaults</w:t>
            </w:r>
          </w:p>
          <w:p>
            <w:pPr>
              <w:spacing w:after="60"/>
            </w:pPr>
            <w:r>
              <w:rPr>
                <w:rFonts w:ascii="Consolas" w:cs="Consolas" w:eastAsia="Consolas" w:hAnsi="Consolas"/>
                <w:color w:val="7A8494"/>
                <w:sz w:val="15"/>
                <w:szCs w:val="15"/>
              </w:rPr>
              <w:t xml:space="preserve">paid_defaults</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6DAF5" w:color="auto" w:val="clear"/>
              </w:rPr>
              <w:t xml:space="preserve"> Credit bureau </w:t>
            </w:r>
          </w:p>
          <w:p>
            <w:pPr>
              <w:spacing w:after="60"/>
            </w:pPr>
            <w:r>
              <w:rPr>
                <w:rFonts w:ascii="Calibri" w:cs="Calibri" w:eastAsia="Calibri" w:hAnsi="Calibri"/>
                <w:color w:val="5A6472"/>
                <w:sz w:val="18"/>
                <w:szCs w:val="18"/>
              </w:rPr>
              <w:t xml:space="preserve">Defaults listed on the report.</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number of listed defaults that have since been paid.</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Credit enquiries in the last 6 months</w:t>
            </w:r>
          </w:p>
          <w:p>
            <w:pPr>
              <w:spacing w:after="60"/>
            </w:pPr>
            <w:r>
              <w:rPr>
                <w:rFonts w:ascii="Consolas" w:cs="Consolas" w:eastAsia="Consolas" w:hAnsi="Consolas"/>
                <w:color w:val="7A8494"/>
                <w:sz w:val="15"/>
                <w:szCs w:val="15"/>
              </w:rPr>
              <w:t xml:space="preserve">enquiry_velocity_6mo</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E6DAF5" w:color="auto" w:val="clear"/>
              </w:rPr>
              <w:t xml:space="preserve"> Credit bureau </w:t>
            </w:r>
          </w:p>
          <w:p>
            <w:pPr>
              <w:spacing w:after="60"/>
            </w:pPr>
            <w:r>
              <w:rPr>
                <w:rFonts w:ascii="Calibri" w:cs="Calibri" w:eastAsia="Calibri" w:hAnsi="Calibri"/>
                <w:color w:val="5A6472"/>
                <w:sz w:val="18"/>
                <w:szCs w:val="18"/>
              </w:rPr>
              <w:t xml:space="preserve">Enquiries listed on the report.</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number of credit applications made in the last 6 months. Many in a short time can signal financial stress.</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Bankruptcy or court judgment</w:t>
            </w:r>
          </w:p>
          <w:p>
            <w:pPr>
              <w:spacing w:after="60"/>
            </w:pPr>
            <w:r>
              <w:rPr>
                <w:rFonts w:ascii="Consolas" w:cs="Consolas" w:eastAsia="Consolas" w:hAnsi="Consolas"/>
                <w:color w:val="7A8494"/>
                <w:sz w:val="15"/>
                <w:szCs w:val="15"/>
              </w:rPr>
              <w:t xml:space="preserve">bankruptcy_judgment_status</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6DAF5" w:color="auto" w:val="clear"/>
              </w:rPr>
              <w:t xml:space="preserve"> Credit bureau </w:t>
            </w:r>
          </w:p>
          <w:p>
            <w:pPr>
              <w:spacing w:after="60"/>
            </w:pPr>
            <w:r>
              <w:rPr>
                <w:rFonts w:ascii="Calibri" w:cs="Calibri" w:eastAsia="Calibri" w:hAnsi="Calibri"/>
                <w:color w:val="5A6472"/>
                <w:sz w:val="18"/>
                <w:szCs w:val="18"/>
              </w:rPr>
              <w:t xml:space="preserve">Insolvency and court records on the report.</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“None”, “bankruptcy” (or another insolvency record), or “judgment” for an unsatisfied court judgment.</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Hardship arrangements in the last 12 months</w:t>
            </w:r>
          </w:p>
          <w:p>
            <w:pPr>
              <w:spacing w:after="60"/>
            </w:pPr>
            <w:r>
              <w:rPr>
                <w:rFonts w:ascii="Consolas" w:cs="Consolas" w:eastAsia="Consolas" w:hAnsi="Consolas"/>
                <w:color w:val="7A8494"/>
                <w:sz w:val="15"/>
                <w:szCs w:val="15"/>
              </w:rPr>
              <w:t xml:space="preserve">hardship_flags_12mo</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E6DAF5" w:color="auto" w:val="clear"/>
              </w:rPr>
              <w:t xml:space="preserve"> Credit bureau </w:t>
            </w:r>
          </w:p>
          <w:p>
            <w:pPr>
              <w:spacing w:after="60"/>
            </w:pPr>
            <w:r>
              <w:rPr>
                <w:rFonts w:ascii="Calibri" w:cs="Calibri" w:eastAsia="Calibri" w:hAnsi="Calibri"/>
                <w:color w:val="5A6472"/>
                <w:sz w:val="18"/>
                <w:szCs w:val="18"/>
              </w:rPr>
              <w:t xml:space="preserve">Hardship records on the report.</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number of financial hardship arrangements in the last 12 months.</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Undisclosed debts (per month)</w:t>
            </w:r>
          </w:p>
          <w:p>
            <w:pPr>
              <w:spacing w:after="60"/>
            </w:pPr>
            <w:r>
              <w:rPr>
                <w:rFonts w:ascii="Consolas" w:cs="Consolas" w:eastAsia="Consolas" w:hAnsi="Consolas"/>
                <w:color w:val="7A8494"/>
                <w:sz w:val="15"/>
                <w:szCs w:val="15"/>
              </w:rPr>
              <w:t xml:space="preserve">undisclosed_liabilities</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6DAF5" w:color="auto" w:val="clear"/>
              </w:rPr>
              <w:t xml:space="preserve"> Credit bureau </w:t>
            </w:r>
            <w:r>
              <w:rPr>
                <w:rFonts w:ascii="Calibri" w:cs="Calibri" w:eastAsia="Calibri" w:hAnsi="Calibri"/>
                <w:sz w:val="18"/>
                <w:szCs w:val="18"/>
              </w:rPr>
              <w:t xml:space="preserve"> </w:t>
            </w: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Open accounts on the credit report, compared with the applicant’s own answers.</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Repayments on open loans and buy-now-pay-later accounts on the file, minus the applicant’s declared loan and mortgage repayments (never below zero), plus 3% of any card limits on the file above the declared card limits.</w:t>
            </w:r>
          </w:p>
          <w:p>
            <w:pPr>
              <w:spacing w:after="60"/>
            </w:pPr>
            <w:r>
              <w:rPr>
                <w:rFonts w:ascii="Calibri" w:cs="Calibri" w:eastAsia="Calibri" w:hAnsi="Calibri"/>
                <w:sz w:val="18"/>
                <w:szCs w:val="18"/>
              </w:rPr>
              <w:t xml:space="preserve">It shows debts the applicant did not mention. Monthly dollars.</w:t>
            </w:r>
          </w:p>
        </w:tc>
      </w:tr>
    </w:tbl>
    <w:p>
      <w:pPr>
        <w:pStyle w:val="Heading2"/>
        <w:keepNext/>
        <w:spacing w:after="120" w:before="280"/>
      </w:pPr>
      <w:r>
        <w:t xml:space="preserve">Rules that use these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200"/>
        <w:gridCol w:w="2638"/>
      </w:tblGrid>
      <w:tr>
        <w:trPr>
          <w:cantSplit/>
          <w:tblHeader/>
        </w:trPr>
        <w:tc>
          <w:tcPr>
            <w:tcW w:type="dxa" w:w="2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Rule</w:t>
            </w:r>
          </w:p>
        </w:tc>
        <w:tc>
          <w:tcPr>
            <w:tcW w:type="dxa" w:w="3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It fires when</w:t>
            </w:r>
          </w:p>
        </w:tc>
        <w:tc>
          <w:tcPr>
            <w:tcW w:type="dxa" w:w="1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Result</w:t>
            </w:r>
          </w:p>
        </w:tc>
        <w:tc>
          <w:tcPr>
            <w:tcW w:type="dxa" w:w="2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What it protects against</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Credit score very low</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Credit score is below 400</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lowest score range.</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Credit score low</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Credit score is 400 to 621</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Below the “good” band.</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Unpaid default</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One or more unpaid defaults</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 debt the applicant has not settled.</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Paid default</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One or more paid defaults</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 past default, even though it has been paid.</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Bankruptcy or judgment</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Anything other than “none”</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Serious adverse credit history.</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Severe arrears</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An account 90 or more days late in the last 24 months</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 serious past failure to repay.</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Recent arrears</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Any late payment in the last 6 months</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Recent difficulty keeping up with repayments.</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Repeated missed payments</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Three or more late payments in the last 24 months</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 pattern of late payments.</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Many enquiries</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Five or more credit enquiries in the last 6 months</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Possible credit-seeking under pressure.</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Recent hardship</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 hardship arrangement in the last 12 months</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Recent financial difficulty.</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Undisclosed debts</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More than $100 a month of debts the applicant did not declare</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applicant’s answers do not match the credit file.</w:t>
            </w:r>
          </w:p>
        </w:tc>
      </w:tr>
    </w:tbl>
    <w:p>
      <w:pPr>
        <w:pBdr>
          <w:left w:val="single" w:color="2E6DA4" w:sz="18" w:space="8"/>
        </w:pBdr>
        <w:shd w:fill="EEF4FB" w:color="auto" w:val="clear"/>
        <w:spacing w:after="180" w:before="120" w:line="276"/>
        <w:ind w:left="200"/>
      </w:pPr>
      <w:r>
        <w:rPr>
          <w:rFonts w:ascii="Calibri" w:cs="Calibri" w:eastAsia="Calibri" w:hAnsi="Calibri"/>
          <w:b/>
          <w:bCs/>
          <w:sz w:val="21"/>
          <w:szCs w:val="21"/>
        </w:rPr>
        <w:t xml:space="preserve">Good to know. </w:t>
      </w:r>
      <w:r>
        <w:rPr>
          <w:rFonts w:ascii="Calibri" w:cs="Calibri" w:eastAsia="Calibri" w:hAnsi="Calibri"/>
          <w:sz w:val="21"/>
          <w:szCs w:val="21"/>
        </w:rPr>
        <w:t xml:space="preserve">The credit bureau in the current platform is simulated. It produces realistic files (clean, late payments, defaults, bankruptcy and so on) so the rules can be demonstrated, but the scores and bands are not from a real bureau. Without consent, none of these measures are available and the outcome is Conditional.</w:t>
      </w:r>
    </w:p>
    <w:p>
      <w:pPr>
        <w:pStyle w:val="Heading1"/>
        <w:pageBreakBefore/>
        <w:spacing w:after="200" w:before="0"/>
      </w:pPr>
      <w:r>
        <w:t xml:space="preserve">7. Collateral: what secures the loan?</w:t>
      </w:r>
    </w:p>
    <w:p>
      <w:pPr>
        <w:spacing w:after="120" w:line="276"/>
      </w:pPr>
      <w:r>
        <w:rPr>
          <w:rFonts w:ascii="Calibri" w:cs="Calibri" w:eastAsia="Calibri" w:hAnsi="Calibri"/>
          <w:sz w:val="21"/>
          <w:szCs w:val="21"/>
        </w:rPr>
        <w:t xml:space="preserve">Collateral looks at the asset that secures the loan, such as the property or vehicle, and how much the lender could recover if the loan were not repaid. This part of the assessment is not built yet. The five measures exist as placeholders and always show as waiting for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650"/>
        <w:gridCol w:w="4638"/>
      </w:tblGrid>
      <w:tr>
        <w:trPr>
          <w:cantSplit/>
          <w:tblHeader/>
        </w:trPr>
        <w:tc>
          <w:tcPr>
            <w:tcW w:type="dxa" w:w="235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Measure</w:t>
            </w:r>
          </w:p>
        </w:tc>
        <w:tc>
          <w:tcPr>
            <w:tcW w:type="dxa" w:w="265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Where the value comes from</w:t>
            </w:r>
          </w:p>
        </w:tc>
        <w:tc>
          <w:tcPr>
            <w:tcW w:type="dxa" w:w="4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How the value is worked out</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Security value</w:t>
            </w:r>
          </w:p>
          <w:p>
            <w:pPr>
              <w:spacing w:after="60"/>
            </w:pPr>
            <w:r>
              <w:rPr>
                <w:rFonts w:ascii="Consolas" w:cs="Consolas" w:eastAsia="Consolas" w:hAnsi="Consolas"/>
                <w:color w:val="7A8494"/>
                <w:sz w:val="15"/>
                <w:szCs w:val="15"/>
              </w:rPr>
              <w:t xml:space="preserve">security_value</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A property or vehicle valuation (planned).</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assessed market value of what secures the loan.</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Loan-to-value ratio (LVR)</w:t>
            </w:r>
          </w:p>
          <w:p>
            <w:pPr>
              <w:spacing w:after="60"/>
            </w:pPr>
            <w:r>
              <w:rPr>
                <w:rFonts w:ascii="Consolas" w:cs="Consolas" w:eastAsia="Consolas" w:hAnsi="Consolas"/>
                <w:color w:val="7A8494"/>
                <w:sz w:val="15"/>
                <w:szCs w:val="15"/>
              </w:rPr>
              <w:t xml:space="preserve">lvr</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Loan amount and security value.</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Loan amount ÷ security value. Lenders set maximum LVRs by product.</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Valuation status</w:t>
            </w:r>
          </w:p>
          <w:p>
            <w:pPr>
              <w:spacing w:after="60"/>
            </w:pPr>
            <w:r>
              <w:rPr>
                <w:rFonts w:ascii="Consolas" w:cs="Consolas" w:eastAsia="Consolas" w:hAnsi="Consolas"/>
                <w:color w:val="7A8494"/>
                <w:sz w:val="15"/>
                <w:szCs w:val="15"/>
              </w:rPr>
              <w:t xml:space="preserve">valuation_status</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The valuation provider (planned).</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Whether the security has been valued, and how (for example a full valuation or an automated estimate).</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Property type risk</w:t>
            </w:r>
          </w:p>
          <w:p>
            <w:pPr>
              <w:spacing w:after="60"/>
            </w:pPr>
            <w:r>
              <w:rPr>
                <w:rFonts w:ascii="Consolas" w:cs="Consolas" w:eastAsia="Consolas" w:hAnsi="Consolas"/>
                <w:color w:val="7A8494"/>
                <w:sz w:val="15"/>
                <w:szCs w:val="15"/>
              </w:rPr>
              <w:t xml:space="preserve">property_type_risk</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Valuation and property data (planned).</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Apartments, land and off-the-plan properties usually carry tighter lending limits than houses.</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Postcode risk</w:t>
            </w:r>
          </w:p>
          <w:p>
            <w:pPr>
              <w:spacing w:after="60"/>
            </w:pPr>
            <w:r>
              <w:rPr>
                <w:rFonts w:ascii="Consolas" w:cs="Consolas" w:eastAsia="Consolas" w:hAnsi="Consolas"/>
                <w:color w:val="7A8494"/>
                <w:sz w:val="15"/>
                <w:szCs w:val="15"/>
              </w:rPr>
              <w:t xml:space="preserve">postcode_risk</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A bank postcode risk table (planned).</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Some areas carry lower maximum LVRs because values are more volatile.</w:t>
            </w:r>
          </w:p>
        </w:tc>
      </w:tr>
    </w:tbl>
    <w:p>
      <w:pPr>
        <w:pBdr>
          <w:left w:val="single" w:color="2E6DA4" w:sz="18" w:space="8"/>
        </w:pBdr>
        <w:shd w:fill="EEF4FB" w:color="auto" w:val="clear"/>
        <w:spacing w:after="180" w:before="120" w:line="276"/>
        <w:ind w:left="200"/>
      </w:pPr>
      <w:r>
        <w:rPr>
          <w:rFonts w:ascii="Calibri" w:cs="Calibri" w:eastAsia="Calibri" w:hAnsi="Calibri"/>
          <w:b/>
          <w:bCs/>
          <w:sz w:val="21"/>
          <w:szCs w:val="21"/>
        </w:rPr>
        <w:t xml:space="preserve">What this means today. </w:t>
      </w:r>
      <w:r>
        <w:rPr>
          <w:rFonts w:ascii="Calibri" w:cs="Calibri" w:eastAsia="Calibri" w:hAnsi="Calibri"/>
          <w:sz w:val="21"/>
          <w:szCs w:val="21"/>
        </w:rPr>
        <w:t xml:space="preserve">No rule uses these measures, so a secured loan is not stopped by the lack of a valuation. Instead, every secured loan gets a condition of approval requiring an independent valuation of the security. The deposit is assessed under Capital, but the loan-to-value ratio itself is not.</w:t>
      </w:r>
    </w:p>
    <w:p>
      <w:pPr>
        <w:pStyle w:val="Heading1"/>
        <w:pageBreakBefore/>
        <w:spacing w:after="200" w:before="0"/>
      </w:pPr>
      <w:r>
        <w:t xml:space="preserve">8. Conditions: what is the loan for, and in what circumstances?</w:t>
      </w:r>
    </w:p>
    <w:p>
      <w:pPr>
        <w:spacing w:after="120" w:line="276"/>
      </w:pPr>
      <w:r>
        <w:rPr>
          <w:rFonts w:ascii="Calibri" w:cs="Calibri" w:eastAsia="Calibri" w:hAnsi="Calibri"/>
          <w:sz w:val="21"/>
          <w:szCs w:val="21"/>
        </w:rPr>
        <w:t xml:space="preserve">Conditions looks at the loan itself and the circumstances around it: what the money is for, whether the request fits the product, how the repayments are structured, and factors such as age, visa, employment and industry that could affect repayment. Most limits here come from the bank’s conditions policy, so the bank can change them without changing the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650"/>
        <w:gridCol w:w="4638"/>
      </w:tblGrid>
      <w:tr>
        <w:trPr>
          <w:cantSplit/>
          <w:tblHeader/>
        </w:trPr>
        <w:tc>
          <w:tcPr>
            <w:tcW w:type="dxa" w:w="235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Measure</w:t>
            </w:r>
          </w:p>
        </w:tc>
        <w:tc>
          <w:tcPr>
            <w:tcW w:type="dxa" w:w="265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Where the value comes from</w:t>
            </w:r>
          </w:p>
        </w:tc>
        <w:tc>
          <w:tcPr>
            <w:tcW w:type="dxa" w:w="4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How the value is worked out</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Loan purpose</w:t>
            </w:r>
          </w:p>
          <w:p>
            <w:pPr>
              <w:spacing w:after="60"/>
            </w:pPr>
            <w:r>
              <w:rPr>
                <w:rFonts w:ascii="Consolas" w:cs="Consolas" w:eastAsia="Consolas" w:hAnsi="Consolas"/>
                <w:color w:val="7A8494"/>
                <w:sz w:val="15"/>
                <w:szCs w:val="15"/>
              </w:rPr>
              <w:t xml:space="preserve">loan_purpose</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p>
          <w:p>
            <w:pPr>
              <w:spacing w:after="60"/>
            </w:pPr>
            <w:r>
              <w:rPr>
                <w:rFonts w:ascii="Calibri" w:cs="Calibri" w:eastAsia="Calibri" w:hAnsi="Calibri"/>
                <w:color w:val="5A6472"/>
                <w:sz w:val="18"/>
                <w:szCs w:val="18"/>
              </w:rPr>
              <w:t xml:space="preserve">Interview: “Main purpose” (a fixed list of choices) and the purpose in the applicant’s own words.</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Copied as chosen. The choices are property purchase, vehicle purchase, debt consolidation, home improvement, business use, travel, medical, education and other.</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Purpose eligibility</w:t>
            </w:r>
          </w:p>
          <w:p>
            <w:pPr>
              <w:spacing w:after="60"/>
            </w:pPr>
            <w:r>
              <w:rPr>
                <w:rFonts w:ascii="Consolas" w:cs="Consolas" w:eastAsia="Consolas" w:hAnsi="Consolas"/>
                <w:color w:val="7A8494"/>
                <w:sz w:val="15"/>
                <w:szCs w:val="15"/>
              </w:rPr>
              <w:t xml:space="preserve">purpose_eligibility</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The purpose, the product, and the bank’s purpose lists.</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“Allowed”, “excluded” (the bank does not lend for this purpose on this product, for example business use on a personal loan), “not suited to product” (for example travel on a vehicle loan), or “needs detail” (the purpose is “other”).</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Loan amount and term</w:t>
            </w:r>
          </w:p>
          <w:p>
            <w:pPr>
              <w:spacing w:after="60"/>
            </w:pPr>
            <w:r>
              <w:rPr>
                <w:rFonts w:ascii="Consolas" w:cs="Consolas" w:eastAsia="Consolas" w:hAnsi="Consolas"/>
                <w:color w:val="7A8494"/>
                <w:sz w:val="15"/>
                <w:szCs w:val="15"/>
              </w:rPr>
              <w:t xml:space="preserve">loan_amount_and_term</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p>
          <w:p>
            <w:pPr>
              <w:spacing w:after="60"/>
            </w:pPr>
            <w:r>
              <w:rPr>
                <w:rFonts w:ascii="Calibri" w:cs="Calibri" w:eastAsia="Calibri" w:hAnsi="Calibri"/>
                <w:color w:val="5A6472"/>
                <w:sz w:val="18"/>
                <w:szCs w:val="18"/>
              </w:rPr>
              <w:t xml:space="preserve">Interview: amount to borrow and term in months.</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Copied as stated.</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Outside product limits</w:t>
            </w:r>
          </w:p>
          <w:p>
            <w:pPr>
              <w:spacing w:after="60"/>
            </w:pPr>
            <w:r>
              <w:rPr>
                <w:rFonts w:ascii="Consolas" w:cs="Consolas" w:eastAsia="Consolas" w:hAnsi="Consolas"/>
                <w:color w:val="7A8494"/>
                <w:sz w:val="15"/>
                <w:szCs w:val="15"/>
              </w:rPr>
              <w:t xml:space="preserve">product_limit_breaches</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Requested amount and term, and the product’s minimum and maximum amount and term.</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number of limits broken: amount below the minimum, amount above the maximum, term too short, term too long. It also records which one.</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Product structure</w:t>
            </w:r>
          </w:p>
          <w:p>
            <w:pPr>
              <w:spacing w:after="60"/>
            </w:pPr>
            <w:r>
              <w:rPr>
                <w:rFonts w:ascii="Consolas" w:cs="Consolas" w:eastAsia="Consolas" w:hAnsi="Consolas"/>
                <w:color w:val="7A8494"/>
                <w:sz w:val="15"/>
                <w:szCs w:val="15"/>
              </w:rPr>
              <w:t xml:space="preserve">product_structure</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The product’s settings.</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Whether the rate is fixed or variable, and whether the loan is secured. Shown for information.</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Repayment structure</w:t>
            </w:r>
          </w:p>
          <w:p>
            <w:pPr>
              <w:spacing w:after="60"/>
            </w:pPr>
            <w:r>
              <w:rPr>
                <w:rFonts w:ascii="Consolas" w:cs="Consolas" w:eastAsia="Consolas" w:hAnsi="Consolas"/>
                <w:color w:val="7A8494"/>
                <w:sz w:val="15"/>
                <w:szCs w:val="15"/>
              </w:rPr>
              <w:t xml:space="preserve">repayment_structure</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p>
          <w:p>
            <w:pPr>
              <w:spacing w:after="60"/>
            </w:pPr>
            <w:r>
              <w:rPr>
                <w:rFonts w:ascii="Calibri" w:cs="Calibri" w:eastAsia="Calibri" w:hAnsi="Calibri"/>
                <w:color w:val="5A6472"/>
                <w:sz w:val="18"/>
                <w:szCs w:val="18"/>
              </w:rPr>
              <w:t xml:space="preserve">Interview: repayment type (home loans) and balloon preference (vehicle loans).</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“Principal and interest” (standard), “interest only”, or “balloon”.</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Balloon payment</w:t>
            </w:r>
          </w:p>
          <w:p>
            <w:pPr>
              <w:spacing w:after="60"/>
            </w:pPr>
            <w:r>
              <w:rPr>
                <w:rFonts w:ascii="Consolas" w:cs="Consolas" w:eastAsia="Consolas" w:hAnsi="Consolas"/>
                <w:color w:val="7A8494"/>
                <w:sz w:val="15"/>
                <w:szCs w:val="15"/>
              </w:rPr>
              <w:t xml:space="preserve">balloon_pct</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p>
          <w:p>
            <w:pPr>
              <w:spacing w:after="60"/>
            </w:pPr>
            <w:r>
              <w:rPr>
                <w:rFonts w:ascii="Calibri" w:cs="Calibri" w:eastAsia="Calibri" w:hAnsi="Calibri"/>
                <w:color w:val="5A6472"/>
                <w:sz w:val="18"/>
                <w:szCs w:val="18"/>
              </w:rPr>
              <w:t xml:space="preserve">Interview: balloon as a percentage of the vehicle price.</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balloon share the applicant wants; 0 if none. Applies to vehicle loans only.</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Maximum balloon allowed</w:t>
            </w:r>
          </w:p>
          <w:p>
            <w:pPr>
              <w:spacing w:after="60"/>
            </w:pPr>
            <w:r>
              <w:rPr>
                <w:rFonts w:ascii="Consolas" w:cs="Consolas" w:eastAsia="Consolas" w:hAnsi="Consolas"/>
                <w:color w:val="7A8494"/>
                <w:sz w:val="15"/>
                <w:szCs w:val="15"/>
              </w:rPr>
              <w:t xml:space="preserve">max_balloon_pct</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The bank’s conditions policy.</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30% (placeholder). Applies to vehicle loans only.</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Vehicle age (as assessed)</w:t>
            </w:r>
          </w:p>
          <w:p>
            <w:pPr>
              <w:spacing w:after="60"/>
            </w:pPr>
            <w:r>
              <w:rPr>
                <w:rFonts w:ascii="Consolas" w:cs="Consolas" w:eastAsia="Consolas" w:hAnsi="Consolas"/>
                <w:color w:val="7A8494"/>
                <w:sz w:val="15"/>
                <w:szCs w:val="15"/>
              </w:rPr>
              <w:t xml:space="preserve">vehicle_age_assessed</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Interview: year of manufacture and loan term.</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Vehicle age in years, measured the way the product measures it: at application for the new-vehicle product, and at the end of the loan term for the used-vehicle product. Vehicle loans only.</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Vehicle age limit</w:t>
            </w:r>
          </w:p>
          <w:p>
            <w:pPr>
              <w:spacing w:after="60"/>
            </w:pPr>
            <w:r>
              <w:rPr>
                <w:rFonts w:ascii="Consolas" w:cs="Consolas" w:eastAsia="Consolas" w:hAnsi="Consolas"/>
                <w:color w:val="7A8494"/>
                <w:sz w:val="15"/>
                <w:szCs w:val="15"/>
              </w:rPr>
              <w:t xml:space="preserve">vehicle_age_limit</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The bank’s conditions policy, by product.</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3 years at application for the new-vehicle loan, and 12 years at the end of the term for the used-vehicle loan (placeholders).</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Age when the loan ends</w:t>
            </w:r>
          </w:p>
          <w:p>
            <w:pPr>
              <w:spacing w:after="60"/>
            </w:pPr>
            <w:r>
              <w:rPr>
                <w:rFonts w:ascii="Consolas" w:cs="Consolas" w:eastAsia="Consolas" w:hAnsi="Consolas"/>
                <w:color w:val="7A8494"/>
                <w:sz w:val="15"/>
                <w:szCs w:val="15"/>
              </w:rPr>
              <w:t xml:space="preserve">age_at_maturity</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Interview: date of birth and loan term.</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applicant’s age today plus the loan term in years.</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Maximum age when the loan ends</w:t>
            </w:r>
          </w:p>
          <w:p>
            <w:pPr>
              <w:spacing w:after="60"/>
            </w:pPr>
            <w:r>
              <w:rPr>
                <w:rFonts w:ascii="Consolas" w:cs="Consolas" w:eastAsia="Consolas" w:hAnsi="Consolas"/>
                <w:color w:val="7A8494"/>
                <w:sz w:val="15"/>
                <w:szCs w:val="15"/>
              </w:rPr>
              <w:t xml:space="preserve">max_age_at_maturity</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The bank’s conditions policy.</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70 years (placeholder).</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Visa shortfall against the term</w:t>
            </w:r>
          </w:p>
          <w:p>
            <w:pPr>
              <w:spacing w:after="60"/>
            </w:pPr>
            <w:r>
              <w:rPr>
                <w:rFonts w:ascii="Consolas" w:cs="Consolas" w:eastAsia="Consolas" w:hAnsi="Consolas"/>
                <w:color w:val="7A8494"/>
                <w:sz w:val="15"/>
                <w:szCs w:val="15"/>
              </w:rPr>
              <w:t xml:space="preserve">visa_shortfall_months</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color w:val="5A6472"/>
                <w:sz w:val="18"/>
                <w:szCs w:val="18"/>
              </w:rPr>
              <w:t xml:space="preserve">Interview: residency status, visa expiry date, loan term.</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For temporary visa holders: the number of months by which the visa ends before the loan does (0 if it covers the whole term). Not applicable to citizens and permanent residents.</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NSR if income falls</w:t>
            </w:r>
          </w:p>
          <w:p>
            <w:pPr>
              <w:spacing w:after="60"/>
            </w:pPr>
            <w:r>
              <w:rPr>
                <w:rFonts w:ascii="Consolas" w:cs="Consolas" w:eastAsia="Consolas" w:hAnsi="Consolas"/>
                <w:color w:val="7A8494"/>
                <w:sz w:val="15"/>
                <w:szCs w:val="15"/>
              </w:rPr>
              <w:t xml:space="preserve">stressed_nsr</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r>
              <w:rPr>
                <w:rFonts w:ascii="Calibri" w:cs="Calibri" w:eastAsia="Calibri" w:hAnsi="Calibri"/>
                <w:sz w:val="18"/>
                <w:szCs w:val="18"/>
              </w:rPr>
              <w:t xml:space="preserve"> </w:t>
            </w: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Capacity measures, and the bank’s income shock setting.</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(Monthly surplus − 10% of assessed take-home pay) ÷ proposed repayment. It shows whether repayments are still covered if income drops by 10% (placeholder shock).</w:t>
            </w:r>
          </w:p>
        </w:tc>
      </w:tr>
      <w:tr>
        <w:trPr>
          <w:cantSplit/>
        </w:trPr>
        <w:tc>
          <w:tcPr>
            <w:tcW w:type="dxa" w:w="23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Employment stability</w:t>
            </w:r>
          </w:p>
          <w:p>
            <w:pPr>
              <w:spacing w:after="60"/>
            </w:pPr>
            <w:r>
              <w:rPr>
                <w:rFonts w:ascii="Consolas" w:cs="Consolas" w:eastAsia="Consolas" w:hAnsi="Consolas"/>
                <w:color w:val="7A8494"/>
                <w:sz w:val="15"/>
                <w:szCs w:val="15"/>
              </w:rPr>
              <w:t xml:space="preserve">employment_stability</w:t>
            </w:r>
          </w:p>
        </w:tc>
        <w:tc>
          <w:tcPr>
            <w:tcW w:type="dxa" w:w="265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Interview: employment status, months in the current role, probation, years trading. The bank’s minimum time in the role.</w:t>
            </w:r>
          </w:p>
        </w:tc>
        <w:tc>
          <w:tcPr>
            <w:tcW w:type="dxa" w:w="4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“Ineligible” for unemployed or student applicants (no employment income). “Review” for retired applicants, anyone on probation, or anyone under the minimum time in the role: 3 months full-time, 6 part-time, 12 casual, 24 months trading for self-employed (placeholders). Otherwise “stable”.</w:t>
            </w:r>
          </w:p>
        </w:tc>
      </w:tr>
      <w:tr>
        <w:trPr>
          <w:cantSplit/>
        </w:trPr>
        <w:tc>
          <w:tcPr>
            <w:tcW w:type="dxa" w:w="23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Industry risk</w:t>
            </w:r>
          </w:p>
          <w:p>
            <w:pPr>
              <w:spacing w:after="60"/>
            </w:pPr>
            <w:r>
              <w:rPr>
                <w:rFonts w:ascii="Consolas" w:cs="Consolas" w:eastAsia="Consolas" w:hAnsi="Consolas"/>
                <w:color w:val="7A8494"/>
                <w:sz w:val="15"/>
                <w:szCs w:val="15"/>
              </w:rPr>
              <w:t xml:space="preserve">industry_sector_risk</w:t>
            </w:r>
          </w:p>
        </w:tc>
        <w:tc>
          <w:tcPr>
            <w:tcW w:type="dxa" w:w="265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color w:val="5A6472"/>
                <w:sz w:val="18"/>
                <w:szCs w:val="18"/>
              </w:rPr>
              <w:t xml:space="preserve">Interview: industry of the employer or business, and the bank’s industry risk table.</w:t>
            </w:r>
          </w:p>
        </w:tc>
        <w:tc>
          <w:tcPr>
            <w:tcW w:type="dxa" w:w="4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“Low”, “medium” or “high” from the bank’s table, or “unclassified” if the industry is not in it. Not applicable to applicants who are not working.</w:t>
            </w:r>
          </w:p>
        </w:tc>
      </w:tr>
    </w:tbl>
    <w:p>
      <w:pPr>
        <w:pStyle w:val="Heading2"/>
        <w:keepNext/>
        <w:spacing w:after="120" w:before="280"/>
      </w:pPr>
      <w:r>
        <w:t xml:space="preserve">Rules that use these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200"/>
        <w:gridCol w:w="2638"/>
      </w:tblGrid>
      <w:tr>
        <w:trPr>
          <w:cantSplit/>
          <w:tblHeader/>
        </w:trPr>
        <w:tc>
          <w:tcPr>
            <w:tcW w:type="dxa" w:w="2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Rule</w:t>
            </w:r>
          </w:p>
        </w:tc>
        <w:tc>
          <w:tcPr>
            <w:tcW w:type="dxa" w:w="3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It fires when</w:t>
            </w:r>
          </w:p>
        </w:tc>
        <w:tc>
          <w:tcPr>
            <w:tcW w:type="dxa" w:w="1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Result</w:t>
            </w:r>
          </w:p>
        </w:tc>
        <w:tc>
          <w:tcPr>
            <w:tcW w:type="dxa" w:w="2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What it protects against</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Purpose not allowed</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Purpose is excluded for this product</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bank does not lend for this purpose on this product.</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Purpose does not fit product</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Purpose does not match what the product is for</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applicant may need a different product.</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Purpose needs detail</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Purpose is “other”</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specific use of the funds must be known.</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Outside product limits</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Amount or term is outside the product’s limits</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loan cannot be offered as requested.</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Visa ends before the loan</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 temporary visa expires before the end of the term</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Repayment risk if the applicant must leave Australia.</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Age at end of loan</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Age when the loan ends is over the maximum</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Repayment after retirement needs a plan.</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Vehicle too old</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Vehicle age is over the product’s limit</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Older vehicles lose value quickly and are poor security.</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Balloon too large</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Balloon share is over the maximum</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 large final payment is hard to meet.</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Non-standard repayments</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Repayments are interest-only or balloon</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bank must document why this structure suits the applicant.</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Income shock</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NSR if income falls is below 1.0</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Repayments could not be met if income dropped.</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No employment income</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Employment stability is “ineligible”</w:t>
            </w:r>
          </w:p>
        </w:tc>
        <w:tc>
          <w:tcPr>
            <w:tcW w:type="dxa" w:w="12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(decline)</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There is no employment income to repay from.</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Income stability</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Employment stability is “review”</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Short time in the role, probation, or retirement.</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Higher-risk industry</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Industry risk is “high”</w:t>
            </w:r>
          </w:p>
        </w:tc>
        <w:tc>
          <w:tcPr>
            <w:tcW w:type="dxa" w:w="12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 (review)</w:t>
            </w:r>
          </w:p>
        </w:tc>
        <w:tc>
          <w:tcPr>
            <w:tcW w:type="dxa" w:w="2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Income in some industries is less secure.</w:t>
            </w:r>
          </w:p>
        </w:tc>
      </w:tr>
    </w:tbl>
    <w:p>
      <w:pPr>
        <w:pBdr>
          <w:left w:val="single" w:color="2E6DA4" w:sz="18" w:space="8"/>
        </w:pBdr>
        <w:shd w:fill="EEF4FB" w:color="auto" w:val="clear"/>
        <w:spacing w:after="180" w:before="120" w:line="276"/>
        <w:ind w:left="200"/>
      </w:pPr>
      <w:r>
        <w:rPr>
          <w:rFonts w:ascii="Calibri" w:cs="Calibri" w:eastAsia="Calibri" w:hAnsi="Calibri"/>
          <w:b/>
          <w:bCs/>
          <w:sz w:val="21"/>
          <w:szCs w:val="21"/>
        </w:rPr>
        <w:t xml:space="preserve">How limits are applied. </w:t>
      </w:r>
      <w:r>
        <w:rPr>
          <w:rFonts w:ascii="Calibri" w:cs="Calibri" w:eastAsia="Calibri" w:hAnsi="Calibri"/>
          <w:sz w:val="21"/>
          <w:szCs w:val="21"/>
        </w:rPr>
        <w:t xml:space="preserve">Where a measure has a limit, the two sit side by side (for example the applicant’s age when the loan ends, and the maximum age). The rule simply compares them. Changing the limit in the bank’s policy changes the result, with no change to the platform.</w:t>
      </w:r>
    </w:p>
    <w:p>
      <w:pPr>
        <w:pStyle w:val="Heading1"/>
        <w:pageBreakBefore/>
        <w:spacing w:after="200" w:before="0"/>
      </w:pPr>
      <w:r>
        <w:t xml:space="preserve">9. Conditions of approval: what must happen before settlement</w:t>
      </w:r>
    </w:p>
    <w:p>
      <w:pPr>
        <w:spacing w:after="120" w:line="276"/>
      </w:pPr>
      <w:r>
        <w:rPr>
          <w:rFonts w:ascii="Calibri" w:cs="Calibri" w:eastAsia="Calibri" w:hAnsi="Calibri"/>
          <w:sz w:val="21"/>
          <w:szCs w:val="21"/>
        </w:rPr>
        <w:t xml:space="preserve">A loan can be recommended for approval and still need things to be in place before it settles. The platform lists these from the product, the applicant’s answers and the rules that fired, and gives the reason for each. They are filed under the five Cs. “Before settlement” items must be met. “Recommended” items are advisable but not mandatory. A recommended decline has no conditions.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2938"/>
        <w:gridCol w:w="1400"/>
      </w:tblGrid>
      <w:tr>
        <w:trPr>
          <w:cantSplit/>
          <w:tblHeader/>
        </w:trPr>
        <w:tc>
          <w:tcPr>
            <w:tcW w:type="dxa" w:w="4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Condition</w:t>
            </w:r>
          </w:p>
        </w:tc>
        <w:tc>
          <w:tcPr>
            <w:tcW w:type="dxa" w:w="1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Group</w:t>
            </w:r>
          </w:p>
        </w:tc>
        <w:tc>
          <w:tcPr>
            <w:tcW w:type="dxa" w:w="29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Applies when</w:t>
            </w:r>
          </w:p>
        </w:tc>
        <w:tc>
          <w:tcPr>
            <w:tcW w:type="dxa" w:w="1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Type</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Credit check consent and a satisfactory credit report</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No credit report has been obtained yet</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Explanation, with evidence, of undisclosed debts</w:t>
            </w:r>
          </w:p>
        </w:tc>
        <w:tc>
          <w:tcPr>
            <w:tcW w:type="dxa" w:w="1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29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undisclosed debts rule fired</w:t>
            </w:r>
          </w:p>
        </w:tc>
        <w:tc>
          <w:tcPr>
            <w:tcW w:type="dxa" w:w="14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Payslips and statements confirming take-home pay</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Capacity</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Take-home pay looks out of line with gross income</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Confirmation the applicant could keep up repayments if income fell</w:t>
            </w:r>
          </w:p>
        </w:tc>
        <w:tc>
          <w:tcPr>
            <w:tcW w:type="dxa" w:w="1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Capacity</w:t>
            </w:r>
          </w:p>
        </w:tc>
        <w:tc>
          <w:tcPr>
            <w:tcW w:type="dxa" w:w="29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income shock rule fired</w:t>
            </w:r>
          </w:p>
        </w:tc>
        <w:tc>
          <w:tcPr>
            <w:tcW w:type="dxa" w:w="14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Recommended</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Lenders mortgage insurance arranged</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Capital</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deposit is under 20%</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Evidence of the deposit (statements, or a gift letter for gifted funds)</w:t>
            </w:r>
          </w:p>
        </w:tc>
        <w:tc>
          <w:tcPr>
            <w:tcW w:type="dxa" w:w="1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Capital</w:t>
            </w:r>
          </w:p>
        </w:tc>
        <w:tc>
          <w:tcPr>
            <w:tcW w:type="dxa" w:w="29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Home loan with a deposit</w:t>
            </w:r>
          </w:p>
        </w:tc>
        <w:tc>
          <w:tcPr>
            <w:tcW w:type="dxa" w:w="14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Independent valuation of the security</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Collateral</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Secured loan that has not been valued</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Signed contract of sale or dealer invoice</w:t>
            </w:r>
          </w:p>
        </w:tc>
        <w:tc>
          <w:tcPr>
            <w:tcW w:type="dxa" w:w="1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Collateral</w:t>
            </w:r>
          </w:p>
        </w:tc>
        <w:tc>
          <w:tcPr>
            <w:tcW w:type="dxa" w:w="29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Vehicle loans, and home loans for a purchase</w:t>
            </w:r>
          </w:p>
        </w:tc>
        <w:tc>
          <w:tcPr>
            <w:tcW w:type="dxa" w:w="14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Comprehensive insurance over the vehicle</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Collateral</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Vehicle loans</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Building insurance over the property</w:t>
            </w:r>
          </w:p>
        </w:tc>
        <w:tc>
          <w:tcPr>
            <w:tcW w:type="dxa" w:w="1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Collateral</w:t>
            </w:r>
          </w:p>
        </w:tc>
        <w:tc>
          <w:tcPr>
            <w:tcW w:type="dxa" w:w="29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Home loans</w:t>
            </w:r>
          </w:p>
        </w:tc>
        <w:tc>
          <w:tcPr>
            <w:tcW w:type="dxa" w:w="14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Guarantor assessed and a signed guarantee</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Collateral</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 guarantor is supporting the loan</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Written confirmation of the specific use of funds</w:t>
            </w:r>
          </w:p>
        </w:tc>
        <w:tc>
          <w:tcPr>
            <w:tcW w:type="dxa" w:w="1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29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Purpose is “other”</w:t>
            </w:r>
          </w:p>
        </w:tc>
        <w:tc>
          <w:tcPr>
            <w:tcW w:type="dxa" w:w="14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Existing debts paid out directly to creditors at settlement</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Purpose is debt consolidation</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Documented plan for repayment after retirement</w:t>
            </w:r>
          </w:p>
        </w:tc>
        <w:tc>
          <w:tcPr>
            <w:tcW w:type="dxa" w:w="1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29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Age when the loan ends is over the maximum</w:t>
            </w:r>
          </w:p>
        </w:tc>
        <w:tc>
          <w:tcPr>
            <w:tcW w:type="dxa" w:w="14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Evidence of the current visa and expiry date</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Applicant is on a temporary visa</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Employment confirmation (employer letter or verbal check)</w:t>
            </w:r>
          </w:p>
        </w:tc>
        <w:tc>
          <w:tcPr>
            <w:tcW w:type="dxa" w:w="1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29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Short time in role, probation, or retired</w:t>
            </w:r>
          </w:p>
        </w:tc>
        <w:tc>
          <w:tcPr>
            <w:tcW w:type="dxa" w:w="14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Written explanation of why the repayment structure suits the applicant</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Interest-only or balloon repayments</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Before settlement</w:t>
            </w:r>
          </w:p>
        </w:tc>
      </w:tr>
      <w:tr>
        <w:trPr>
          <w:cantSplit/>
        </w:trPr>
        <w:tc>
          <w:tcPr>
            <w:tcW w:type="dxa" w:w="4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Confirmation of employer or business stability</w:t>
            </w:r>
          </w:p>
        </w:tc>
        <w:tc>
          <w:tcPr>
            <w:tcW w:type="dxa" w:w="1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29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Higher-risk industry</w:t>
            </w:r>
          </w:p>
        </w:tc>
        <w:tc>
          <w:tcPr>
            <w:tcW w:type="dxa" w:w="14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Recommended</w:t>
            </w:r>
          </w:p>
        </w:tc>
      </w:tr>
    </w:tbl>
    <w:p>
      <w:pPr>
        <w:pStyle w:val="Heading1"/>
        <w:pageBreakBefore/>
        <w:spacing w:after="200" w:before="0"/>
      </w:pPr>
      <w:r>
        <w:t xml:space="preserve">10. A worked example, and how the outcome changes</w:t>
      </w:r>
    </w:p>
    <w:p>
      <w:pPr>
        <w:pStyle w:val="Heading2"/>
        <w:keepNext/>
        <w:spacing w:after="120" w:before="280"/>
      </w:pPr>
      <w:r>
        <w:t xml:space="preserve">A strong personal loan applicant</w:t>
      </w:r>
    </w:p>
    <w:p>
      <w:pPr>
        <w:spacing w:after="120" w:line="276"/>
      </w:pPr>
      <w:r>
        <w:rPr>
          <w:rFonts w:ascii="Calibri" w:cs="Calibri" w:eastAsia="Calibri" w:hAnsi="Calibri"/>
          <w:sz w:val="21"/>
          <w:szCs w:val="21"/>
        </w:rPr>
        <w:t xml:space="preserve">Jane wants to borrow $20,000 over 5 years to consolidate debts. She earns $95,000 a year, works full-time, has a clean credit file and has uploaded a bank statement. These are the actual figures the platform produces for her.</w:t>
      </w:r>
    </w:p>
    <w:p>
      <w:pPr>
        <w:pStyle w:val="Heading3"/>
        <w:keepNext/>
        <w:spacing w:after="80" w:before="200"/>
      </w:pPr>
      <w:r>
        <w:t xml:space="preserve">Capacity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438"/>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Step</w:t>
            </w:r>
          </w:p>
        </w:tc>
        <w:tc>
          <w:tcPr>
            <w:tcW w:type="dxa" w:w="1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Result</w:t>
            </w:r>
          </w:p>
        </w:tc>
        <w:tc>
          <w:tcPr>
            <w:tcW w:type="dxa" w:w="54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Where it comes from and the working</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1. Take-home pay</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$6,151.17 a month</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p>
          <w:p>
            <w:pPr>
              <w:spacing w:after="60"/>
            </w:pPr>
            <w:r>
              <w:rPr>
                <w:rFonts w:ascii="Calibri" w:cs="Calibri" w:eastAsia="Calibri" w:hAnsi="Calibri"/>
                <w:sz w:val="18"/>
                <w:szCs w:val="18"/>
              </w:rPr>
              <w:t xml:space="preserve">The applicant says $2,839 every fortnight. $2,839 × 26 ÷ 12 = $6,151.17. Full-time employees are not shaded, so this is also the assessed figure.</w:t>
            </w:r>
          </w:p>
        </w:tc>
      </w:tr>
      <w:tr>
        <w:trPr>
          <w:cantSplit/>
        </w:trPr>
        <w:tc>
          <w:tcPr>
            <w:tcW w:type="dxa" w:w="2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2. Living expenses</w:t>
            </w:r>
          </w:p>
        </w:tc>
        <w:tc>
          <w:tcPr>
            <w:tcW w:type="dxa" w:w="19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$2,230 a month</w:t>
            </w:r>
          </w:p>
        </w:tc>
        <w:tc>
          <w:tcPr>
            <w:tcW w:type="dxa" w:w="54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D5F0DD" w:color="auto" w:val="clear"/>
              </w:rPr>
              <w:t xml:space="preserve"> Bank statement </w:t>
            </w:r>
            <w:r>
              <w:rPr>
                <w:rFonts w:ascii="Calibri" w:cs="Calibri" w:eastAsia="Calibri" w:hAnsi="Calibri"/>
                <w:sz w:val="18"/>
                <w:szCs w:val="18"/>
              </w:rPr>
              <w:t xml:space="preserve"> </w:t>
            </w: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sz w:val="18"/>
                <w:szCs w:val="18"/>
              </w:rPr>
              <w:t xml:space="preserve">Three figures are compared: declared $2,180, bank statement $2,230, benchmark $2,200. The highest, $2,230, is used.</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3. Existing commitments</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$150 a month</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sz w:val="18"/>
                <w:szCs w:val="18"/>
              </w:rPr>
              <w:t xml:space="preserve">No other loans. Card limits of $5,000 × 3% = $150.</w:t>
            </w:r>
          </w:p>
        </w:tc>
      </w:tr>
      <w:tr>
        <w:trPr>
          <w:cantSplit/>
        </w:trPr>
        <w:tc>
          <w:tcPr>
            <w:tcW w:type="dxa" w:w="2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4. Assessment rate</w:t>
            </w:r>
          </w:p>
        </w:tc>
        <w:tc>
          <w:tcPr>
            <w:tcW w:type="dxa" w:w="19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12.99% a year</w:t>
            </w:r>
          </w:p>
        </w:tc>
        <w:tc>
          <w:tcPr>
            <w:tcW w:type="dxa" w:w="54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FBEACB" w:color="auto" w:val="clear"/>
              </w:rPr>
              <w:t xml:space="preserve"> Bank policy </w:t>
            </w:r>
          </w:p>
          <w:p>
            <w:pPr>
              <w:spacing w:after="60"/>
            </w:pPr>
            <w:r>
              <w:rPr>
                <w:rFonts w:ascii="Calibri" w:cs="Calibri" w:eastAsia="Calibri" w:hAnsi="Calibri"/>
                <w:sz w:val="18"/>
                <w:szCs w:val="18"/>
              </w:rPr>
              <w:t xml:space="preserve">The product’s rate of 9.99% plus the 3.00 point buffer.</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5. New repayment</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$454.96 a month</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D6E8FA" w:color="auto" w:val="clear"/>
              </w:rPr>
              <w:t xml:space="preserve"> Applicant’s answer </w:t>
            </w:r>
            <w:r>
              <w:rPr>
                <w:rFonts w:ascii="Calibri" w:cs="Calibri" w:eastAsia="Calibri" w:hAnsi="Calibri"/>
                <w:sz w:val="18"/>
                <w:szCs w:val="18"/>
              </w:rPr>
              <w:t xml:space="preserve"> </w:t>
            </w: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sz w:val="18"/>
                <w:szCs w:val="18"/>
              </w:rPr>
              <w:t xml:space="preserve">$20,000 over 60 months at 12.99%, using the standard repayment formula.</w:t>
            </w:r>
          </w:p>
        </w:tc>
      </w:tr>
      <w:tr>
        <w:trPr>
          <w:cantSplit/>
        </w:trPr>
        <w:tc>
          <w:tcPr>
            <w:tcW w:type="dxa" w:w="2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6. Monthly surplus</w:t>
            </w:r>
          </w:p>
        </w:tc>
        <w:tc>
          <w:tcPr>
            <w:tcW w:type="dxa" w:w="19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$3,316.21</w:t>
            </w:r>
          </w:p>
        </w:tc>
        <w:tc>
          <w:tcPr>
            <w:tcW w:type="dxa" w:w="54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sz w:val="18"/>
                <w:szCs w:val="18"/>
              </w:rPr>
              <w:t xml:space="preserve">$6,151.17 − $2,230 − $150 − $454.96 = $3,316.21.</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7. Net surplus ratio</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7.29</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sz w:val="18"/>
                <w:szCs w:val="18"/>
              </w:rPr>
              <w:t xml:space="preserve">$3,316.21 ÷ $454.96. Well above the minimum of 1.0 and the 1.2 comfort level.</w:t>
            </w:r>
          </w:p>
        </w:tc>
      </w:tr>
      <w:tr>
        <w:trPr>
          <w:cantSplit/>
        </w:trPr>
        <w:tc>
          <w:tcPr>
            <w:tcW w:type="dxa" w:w="2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8. Debt-to-income</w:t>
            </w:r>
          </w:p>
        </w:tc>
        <w:tc>
          <w:tcPr>
            <w:tcW w:type="dxa" w:w="19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0.076</w:t>
            </w:r>
          </w:p>
        </w:tc>
        <w:tc>
          <w:tcPr>
            <w:tcW w:type="dxa" w:w="54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shd w:fill="E3E6EA" w:color="auto" w:val="clear"/>
              </w:rPr>
              <w:t xml:space="preserve"> Calculated </w:t>
            </w:r>
          </w:p>
          <w:p>
            <w:pPr>
              <w:spacing w:after="60"/>
            </w:pPr>
            <w:r>
              <w:rPr>
                <w:rFonts w:ascii="Calibri" w:cs="Calibri" w:eastAsia="Calibri" w:hAnsi="Calibri"/>
                <w:sz w:val="18"/>
                <w:szCs w:val="18"/>
              </w:rPr>
              <w:t xml:space="preserve">($150 + $454.96) × 12 ÷ $95,000. Far below the 0.45 warning level.</w:t>
            </w:r>
          </w:p>
        </w:tc>
      </w:tr>
    </w:tbl>
    <w:p>
      <w:pPr>
        <w:pStyle w:val="Heading3"/>
        <w:keepNext/>
        <w:spacing w:after="80" w:before="200"/>
      </w:pPr>
      <w:r>
        <w:t xml:space="preserve">Capital</w:t>
      </w:r>
    </w:p>
    <w:p>
      <w:pPr>
        <w:spacing w:after="120" w:line="276"/>
      </w:pPr>
      <w:r>
        <w:rPr>
          <w:rFonts w:ascii="Calibri" w:cs="Calibri" w:eastAsia="Calibri" w:hAnsi="Calibri"/>
          <w:sz w:val="21"/>
          <w:szCs w:val="21"/>
        </w:rPr>
        <w:t xml:space="preserve">Not applicable: a personal loan has no deposit. The bank statement shows $9,600 of regular money in over the period, and her net asset position is $25,000. No capital rule fires.</w:t>
      </w:r>
    </w:p>
    <w:p>
      <w:pPr>
        <w:pStyle w:val="Heading3"/>
        <w:keepNext/>
        <w:spacing w:after="80" w:before="200"/>
      </w:pPr>
      <w:r>
        <w:t xml:space="preserve">Character</w:t>
      </w:r>
    </w:p>
    <w:p>
      <w:pPr>
        <w:spacing w:after="120" w:line="276"/>
      </w:pPr>
      <w:r>
        <w:rPr>
          <w:rFonts w:ascii="Calibri" w:cs="Calibri" w:eastAsia="Calibri" w:hAnsi="Calibri"/>
          <w:sz w:val="21"/>
          <w:szCs w:val="21"/>
        </w:rPr>
        <w:t xml:space="preserve">With her consent, the platform requests a credit report. Her score is 846 and every repayment on the file is up to date. She has 0 unpaid defaults, 0 paid defaults and 1 recent enquiry. The debts on her credit file match what she declared, so undisclosed debts are $0. No character rule fires.</w:t>
      </w:r>
    </w:p>
    <w:p>
      <w:pPr>
        <w:pStyle w:val="Heading3"/>
        <w:keepNext/>
        <w:spacing w:after="80" w:before="200"/>
      </w:pPr>
      <w:r>
        <w:t xml:space="preserve">Collateral</w:t>
      </w:r>
    </w:p>
    <w:p>
      <w:pPr>
        <w:spacing w:after="120" w:line="276"/>
      </w:pPr>
      <w:r>
        <w:rPr>
          <w:rFonts w:ascii="Calibri" w:cs="Calibri" w:eastAsia="Calibri" w:hAnsi="Calibri"/>
          <w:sz w:val="21"/>
          <w:szCs w:val="21"/>
        </w:rPr>
        <w:t xml:space="preserve">Not assessed: the loan is unsecured, and this part is not yet built.</w:t>
      </w:r>
    </w:p>
    <w:p>
      <w:pPr>
        <w:pStyle w:val="Heading3"/>
        <w:keepNext/>
        <w:spacing w:after="80" w:before="200"/>
      </w:pPr>
      <w:r>
        <w:t xml:space="preserve">Conditions</w:t>
      </w:r>
    </w:p>
    <w:p>
      <w:pPr>
        <w:spacing w:after="120" w:line="276"/>
      </w:pPr>
      <w:r>
        <w:rPr>
          <w:rFonts w:ascii="Calibri" w:cs="Calibri" w:eastAsia="Calibri" w:hAnsi="Calibri"/>
          <w:sz w:val="21"/>
          <w:szCs w:val="21"/>
        </w:rPr>
        <w:t xml:space="preserve">Debt consolidation is an allowed purpose for a personal loan, and the amount and term are within the product’s limits. She will be 41.4 years old when the loan ends, against a maximum of 70. If her income fell by 10%, her NSR would still be 5.94. She has been in her job for 36 months (the minimum is 3), so employment is stable, and her industry is rated medium risk. No conditions rule fires.</w:t>
      </w:r>
    </w:p>
    <w:p>
      <w:pPr>
        <w:pStyle w:val="Heading3"/>
        <w:keepNext/>
        <w:spacing w:after="80" w:before="200"/>
      </w:pPr>
      <w:r>
        <w:t xml:space="preserve">Outcome</w:t>
      </w:r>
    </w:p>
    <w:p>
      <w:pPr>
        <w:spacing w:after="120" w:line="276"/>
      </w:pPr>
      <w:r>
        <w:rPr>
          <w:rFonts w:ascii="Calibri" w:cs="Calibri" w:eastAsia="Calibri" w:hAnsi="Calibri"/>
          <w:b/>
          <w:bCs/>
          <w:sz w:val="21"/>
          <w:szCs w:val="21"/>
        </w:rPr>
        <w:t xml:space="preserve">Auto-eligible. </w:t>
      </w:r>
      <w:r>
        <w:rPr>
          <w:rFonts w:ascii="Calibri" w:cs="Calibri" w:eastAsia="Calibri" w:hAnsi="Calibri"/>
          <w:sz w:val="21"/>
          <w:szCs w:val="21"/>
        </w:rPr>
        <w:t xml:space="preserve">No rule failed, flagged or waited. One condition of approval applies: because the purpose is debt consolidation, her existing debts must be paid out directly to the creditors at settlement.</w:t>
      </w:r>
    </w:p>
    <w:p>
      <w:pPr>
        <w:pStyle w:val="Heading2"/>
        <w:keepNext/>
        <w:spacing w:after="120" w:before="280"/>
      </w:pPr>
      <w:r>
        <w:t xml:space="preserve">How the outcome changes</w:t>
      </w:r>
    </w:p>
    <w:p>
      <w:pPr>
        <w:spacing w:after="120" w:line="276"/>
      </w:pPr>
      <w:r>
        <w:rPr>
          <w:rFonts w:ascii="Calibri" w:cs="Calibri" w:eastAsia="Calibri" w:hAnsi="Calibri"/>
          <w:sz w:val="21"/>
          <w:szCs w:val="21"/>
        </w:rPr>
        <w:t xml:space="preserve">The same platform, run on different applicants. Each row is a real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238"/>
      </w:tblGrid>
      <w:tr>
        <w:trPr>
          <w:cantSplit/>
          <w:tblHeader/>
        </w:trPr>
        <w:tc>
          <w:tcPr>
            <w:tcW w:type="dxa" w:w="3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Applicant</w:t>
            </w:r>
          </w:p>
        </w:tc>
        <w:tc>
          <w:tcPr>
            <w:tcW w:type="dxa" w:w="1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Outcome</w:t>
            </w:r>
          </w:p>
        </w:tc>
        <w:tc>
          <w:tcPr>
            <w:tcW w:type="dxa" w:w="42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Why</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Strong applicant: $20,000 over 5 years, clean credit file</w:t>
            </w:r>
          </w:p>
        </w:tc>
        <w:tc>
          <w:tcPr>
            <w:tcW w:type="dxa" w:w="1800"/>
            <w:tcBorders>
              <w:top w:val="single" w:color="BFC7D1" w:sz="4"/>
              <w:left w:val="single" w:color="BFC7D1" w:sz="4"/>
              <w:bottom w:val="single" w:color="BFC7D1" w:sz="4"/>
              <w:right w:val="single" w:color="BFC7D1" w:sz="4"/>
            </w:tcBorders>
            <w:shd w:fill="D8F0DF"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Auto-eligible</w:t>
            </w:r>
          </w:p>
        </w:tc>
        <w:tc>
          <w:tcPr>
            <w:tcW w:type="dxa" w:w="4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NSR 7.29. No rule fired. 1 condition of approval (old debts paid out directly).</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$45,000 over 3 years on a modest income</w:t>
            </w:r>
          </w:p>
        </w:tc>
        <w:tc>
          <w:tcPr>
            <w:tcW w:type="dxa" w:w="18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Decline recommended</w:t>
            </w:r>
          </w:p>
        </w:tc>
        <w:tc>
          <w:tcPr>
            <w:tcW w:type="dxa" w:w="42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Monthly surplus −$1,527.68, NSR −1.01. Affordability rules failed.</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Good income, but an unpaid default and 90-day arrears on the credit file</w:t>
            </w:r>
          </w:p>
        </w:tc>
        <w:tc>
          <w:tcPr>
            <w:tcW w:type="dxa" w:w="18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Decline recommended</w:t>
            </w:r>
          </w:p>
        </w:tc>
        <w:tc>
          <w:tcPr>
            <w:tcW w:type="dxa" w:w="4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Credit score 376. Three Character rules failed.</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Personal loan for business use</w:t>
            </w:r>
          </w:p>
        </w:tc>
        <w:tc>
          <w:tcPr>
            <w:tcW w:type="dxa" w:w="18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Decline recommended</w:t>
            </w:r>
          </w:p>
        </w:tc>
        <w:tc>
          <w:tcPr>
            <w:tcW w:type="dxa" w:w="42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Purpose not allowed on a personal loan. The bank does not lend for it, whatever the income.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Home loan: $520,000 against a $600,000 property, $80,000 deposit (13.33%)</w:t>
            </w:r>
          </w:p>
        </w:tc>
        <w:tc>
          <w:tcPr>
            <w:tcW w:type="dxa" w:w="18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Underwriter review</w:t>
            </w:r>
          </w:p>
        </w:tc>
        <w:tc>
          <w:tcPr>
            <w:tcW w:type="dxa" w:w="4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Meets the minimum deposit but is under 20%, so mortgage insurance is flagged. 5 conditions of approval.</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Older borrower on a 25-year home loan</w:t>
            </w:r>
          </w:p>
        </w:tc>
        <w:tc>
          <w:tcPr>
            <w:tcW w:type="dxa" w:w="18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Underwriter review</w:t>
            </w:r>
          </w:p>
        </w:tc>
        <w:tc>
          <w:tcPr>
            <w:tcW w:type="dxa" w:w="42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Age when the loan ends is 93.6 years, over the maximum of 70. A plan for repayment after retirement is required.</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Declares no other loans, but the credit file shows some</w:t>
            </w:r>
          </w:p>
        </w:tc>
        <w:tc>
          <w:tcPr>
            <w:tcW w:type="dxa" w:w="18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Underwriter review</w:t>
            </w:r>
          </w:p>
        </w:tc>
        <w:tc>
          <w:tcPr>
            <w:tcW w:type="dxa" w:w="4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About $730 a month of debts the applicant did not declare.</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Same as the strong applicant, but declines the credit check</w:t>
            </w:r>
          </w:p>
        </w:tc>
        <w:tc>
          <w:tcPr>
            <w:tcW w:type="dxa" w:w="1800"/>
            <w:tcBorders>
              <w:top w:val="single" w:color="BFC7D1" w:sz="4"/>
              <w:left w:val="single" w:color="BFC7D1" w:sz="4"/>
              <w:bottom w:val="single" w:color="BFC7D1" w:sz="4"/>
              <w:right w:val="single" w:color="BFC7D1" w:sz="4"/>
            </w:tcBorders>
            <w:shd w:fill="DCEBFA"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Conditional</w:t>
            </w:r>
          </w:p>
        </w:tc>
        <w:tc>
          <w:tcPr>
            <w:tcW w:type="dxa" w:w="42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12 rules cannot run without a credit report, so the outcome is Conditional until consent is given.</w:t>
            </w:r>
          </w:p>
        </w:tc>
      </w:tr>
    </w:tbl>
    <w:p>
      <w:pPr>
        <w:pStyle w:val="Heading1"/>
        <w:pageBreakBefore/>
        <w:spacing w:after="200" w:before="0"/>
      </w:pPr>
      <w:r>
        <w:t xml:space="preserve">11. What is working, what is simulated, what is left</w:t>
      </w:r>
    </w:p>
    <w:p>
      <w:pPr>
        <w:spacing w:after="120" w:line="276"/>
      </w:pPr>
      <w:r>
        <w:rPr>
          <w:rFonts w:ascii="Calibri" w:cs="Calibri" w:eastAsia="Calibri" w:hAnsi="Calibri"/>
          <w:sz w:val="21"/>
          <w:szCs w:val="21"/>
        </w:rPr>
        <w:t xml:space="preserve">This is an honest picture of where the assessment stands today.</w:t>
      </w:r>
    </w:p>
    <w:p>
      <w:pPr>
        <w:pStyle w:val="Heading2"/>
        <w:keepNext/>
        <w:spacing w:after="120" w:before="280"/>
      </w:pPr>
      <w:r>
        <w:t xml:space="preserve">Working and tested</w:t>
      </w:r>
    </w:p>
    <w:p>
      <w:pPr>
        <w:pStyle w:val="ListParagraph"/>
        <w:numPr>
          <w:ilvl w:val="0"/>
          <w:numId w:val="2"/>
        </w:numPr>
        <w:spacing w:after="80" w:line="270"/>
      </w:pPr>
      <w:r>
        <w:rPr>
          <w:rFonts w:ascii="Calibri" w:cs="Calibri" w:eastAsia="Calibri" w:hAnsi="Calibri"/>
          <w:sz w:val="21"/>
          <w:szCs w:val="21"/>
        </w:rPr>
        <w:t xml:space="preserve">The full flow: interview answers, document reading and comparison, credit check, the 52 measures, the 33 rules, the outcome, and conditions of approval.</w:t>
      </w:r>
    </w:p>
    <w:p>
      <w:pPr>
        <w:pStyle w:val="ListParagraph"/>
        <w:numPr>
          <w:ilvl w:val="0"/>
          <w:numId w:val="2"/>
        </w:numPr>
        <w:spacing w:after="80" w:line="270"/>
      </w:pPr>
      <w:r>
        <w:rPr>
          <w:rFonts w:ascii="Calibri" w:cs="Calibri" w:eastAsia="Calibri" w:hAnsi="Calibri"/>
          <w:sz w:val="21"/>
          <w:szCs w:val="21"/>
        </w:rPr>
        <w:t xml:space="preserve">Capacity (built on take-home pay), Capital, Character and Conditions. Automated checks cover the measures and rules, and 17 demonstration applicants have been run through the whole flow.</w:t>
      </w:r>
    </w:p>
    <w:p>
      <w:pPr>
        <w:pStyle w:val="Heading2"/>
        <w:keepNext/>
        <w:spacing w:after="120" w:before="280"/>
      </w:pPr>
      <w:r>
        <w:t xml:space="preserve">Simulated or placeholder</w:t>
      </w:r>
    </w:p>
    <w:p>
      <w:pPr>
        <w:pStyle w:val="ListParagraph"/>
        <w:numPr>
          <w:ilvl w:val="0"/>
          <w:numId w:val="2"/>
        </w:numPr>
        <w:spacing w:after="80" w:line="270"/>
      </w:pPr>
      <w:r>
        <w:rPr>
          <w:rFonts w:ascii="Calibri" w:cs="Calibri" w:eastAsia="Calibri" w:hAnsi="Calibri"/>
          <w:sz w:val="21"/>
          <w:szCs w:val="21"/>
        </w:rPr>
        <w:t xml:space="preserve">The credit bureau is simulated. Scores, bands and file types are realistic but not from a real bureau.</w:t>
      </w:r>
    </w:p>
    <w:p>
      <w:pPr>
        <w:pStyle w:val="ListParagraph"/>
        <w:numPr>
          <w:ilvl w:val="0"/>
          <w:numId w:val="2"/>
        </w:numPr>
        <w:spacing w:after="80" w:line="270"/>
      </w:pPr>
      <w:r>
        <w:rPr>
          <w:rFonts w:ascii="Calibri" w:cs="Calibri" w:eastAsia="Calibri" w:hAnsi="Calibri"/>
          <w:sz w:val="21"/>
          <w:szCs w:val="21"/>
        </w:rPr>
        <w:t xml:space="preserve">Every limit and benchmark is a placeholder: shading rates, living-expense benchmarks, the rate buffer, the minimum deposit, the mortgage insurance line, age and balloon limits, minimum time in a job, industry risk grades, and every rule threshold. They must be replaced with the lender’s own credit policy.</w:t>
      </w:r>
    </w:p>
    <w:p>
      <w:pPr>
        <w:pStyle w:val="ListParagraph"/>
        <w:numPr>
          <w:ilvl w:val="0"/>
          <w:numId w:val="2"/>
        </w:numPr>
        <w:spacing w:after="80" w:line="270"/>
      </w:pPr>
      <w:r>
        <w:rPr>
          <w:rFonts w:ascii="Calibri" w:cs="Calibri" w:eastAsia="Calibri" w:hAnsi="Calibri"/>
          <w:sz w:val="21"/>
          <w:szCs w:val="21"/>
        </w:rPr>
        <w:t xml:space="preserve">Take-home pay in the demonstration applicants is estimated from gross income using standard tax rates. Real applicants state their own take-home pay.</w:t>
      </w:r>
    </w:p>
    <w:p>
      <w:pPr>
        <w:pStyle w:val="Heading2"/>
        <w:keepNext/>
        <w:spacing w:after="120" w:before="280"/>
      </w:pPr>
      <w:r>
        <w:t xml:space="preserve">Not built yet</w:t>
      </w:r>
    </w:p>
    <w:p>
      <w:pPr>
        <w:pStyle w:val="ListParagraph"/>
        <w:numPr>
          <w:ilvl w:val="0"/>
          <w:numId w:val="2"/>
        </w:numPr>
        <w:spacing w:after="80" w:line="270"/>
      </w:pPr>
      <w:r>
        <w:rPr>
          <w:rFonts w:ascii="Calibri" w:cs="Calibri" w:eastAsia="Calibri" w:hAnsi="Calibri"/>
          <w:sz w:val="21"/>
          <w:szCs w:val="21"/>
        </w:rPr>
        <w:t xml:space="preserve">Collateral: valuation, loan-to-value ratio, property type and postcode risk.</w:t>
      </w:r>
    </w:p>
    <w:p>
      <w:pPr>
        <w:pStyle w:val="ListParagraph"/>
        <w:numPr>
          <w:ilvl w:val="0"/>
          <w:numId w:val="2"/>
        </w:numPr>
        <w:spacing w:after="80" w:line="270"/>
      </w:pPr>
      <w:r>
        <w:rPr>
          <w:rFonts w:ascii="Calibri" w:cs="Calibri" w:eastAsia="Calibri" w:hAnsi="Calibri"/>
          <w:sz w:val="21"/>
          <w:szCs w:val="21"/>
        </w:rPr>
        <w:t xml:space="preserve">Identity and fraud checks.</w:t>
      </w:r>
    </w:p>
    <w:p>
      <w:pPr>
        <w:pStyle w:val="ListParagraph"/>
        <w:numPr>
          <w:ilvl w:val="0"/>
          <w:numId w:val="2"/>
        </w:numPr>
        <w:spacing w:after="80" w:line="270"/>
      </w:pPr>
      <w:r>
        <w:rPr>
          <w:rFonts w:ascii="Calibri" w:cs="Calibri" w:eastAsia="Calibri" w:hAnsi="Calibri"/>
          <w:sz w:val="21"/>
          <w:szCs w:val="21"/>
        </w:rPr>
        <w:t xml:space="preserve">A separate assessment for business loans. Business products currently pass through the same rules as personal loans.</w:t>
      </w:r>
    </w:p>
    <w:p>
      <w:pPr>
        <w:pStyle w:val="ListParagraph"/>
        <w:numPr>
          <w:ilvl w:val="0"/>
          <w:numId w:val="2"/>
        </w:numPr>
        <w:spacing w:after="80" w:line="270"/>
      </w:pPr>
      <w:r>
        <w:rPr>
          <w:rFonts w:ascii="Calibri" w:cs="Calibri" w:eastAsia="Calibri" w:hAnsi="Calibri"/>
          <w:sz w:val="21"/>
          <w:szCs w:val="21"/>
        </w:rPr>
        <w:t xml:space="preserve">Joint applicants, rental and other income, and repayments that reflect balloon or interest-only structures.</w:t>
      </w:r>
    </w:p>
    <w:p>
      <w:pPr>
        <w:pStyle w:val="ListParagraph"/>
        <w:numPr>
          <w:ilvl w:val="0"/>
          <w:numId w:val="2"/>
        </w:numPr>
        <w:spacing w:after="80" w:line="270"/>
      </w:pPr>
      <w:r>
        <w:rPr>
          <w:rFonts w:ascii="Calibri" w:cs="Calibri" w:eastAsia="Calibri" w:hAnsi="Calibri"/>
          <w:sz w:val="21"/>
          <w:szCs w:val="21"/>
        </w:rPr>
        <w:t xml:space="preserve">Using document comparison results (mismatches) in the outcome, and comparing payslip income for personal loans.</w:t>
      </w:r>
    </w:p>
    <w:p>
      <w:pPr>
        <w:pStyle w:val="Heading2"/>
        <w:keepNext/>
        <w:spacing w:after="120" w:before="280"/>
      </w:pPr>
      <w:r>
        <w:t xml:space="preserve">Known limits to be aware of</w:t>
      </w:r>
    </w:p>
    <w:p>
      <w:pPr>
        <w:pStyle w:val="ListParagraph"/>
        <w:numPr>
          <w:ilvl w:val="0"/>
          <w:numId w:val="2"/>
        </w:numPr>
        <w:spacing w:after="80" w:line="270"/>
      </w:pPr>
      <w:r>
        <w:rPr>
          <w:rFonts w:ascii="Calibri" w:cs="Calibri" w:eastAsia="Calibri" w:hAnsi="Calibri"/>
          <w:sz w:val="21"/>
          <w:szCs w:val="21"/>
        </w:rPr>
        <w:t xml:space="preserve">Statement expenses are added up over the whole statement period and treated as one month.</w:t>
      </w:r>
    </w:p>
    <w:p>
      <w:pPr>
        <w:pStyle w:val="ListParagraph"/>
        <w:numPr>
          <w:ilvl w:val="0"/>
          <w:numId w:val="2"/>
        </w:numPr>
        <w:spacing w:after="80" w:line="270"/>
      </w:pPr>
      <w:r>
        <w:rPr>
          <w:rFonts w:ascii="Calibri" w:cs="Calibri" w:eastAsia="Calibri" w:hAnsi="Calibri"/>
          <w:sz w:val="21"/>
          <w:szCs w:val="21"/>
        </w:rPr>
        <w:t xml:space="preserve">Regular money in (Capital) is a rough measure, and no rule uses it yet.</w:t>
      </w:r>
    </w:p>
    <w:p>
      <w:pPr>
        <w:pStyle w:val="ListParagraph"/>
        <w:numPr>
          <w:ilvl w:val="0"/>
          <w:numId w:val="2"/>
        </w:numPr>
        <w:spacing w:after="80" w:line="270"/>
      </w:pPr>
      <w:r>
        <w:rPr>
          <w:rFonts w:ascii="Calibri" w:cs="Calibri" w:eastAsia="Calibri" w:hAnsi="Calibri"/>
          <w:sz w:val="21"/>
          <w:szCs w:val="21"/>
        </w:rPr>
        <w:t xml:space="preserve">A Conditional outcome takes priority over a flag. If one rule is waiting for information, a flag that has already fired is not shown as the outcome until the information arrives.</w:t>
      </w:r>
    </w:p>
    <w:p>
      <w:pPr>
        <w:pStyle w:val="ListParagraph"/>
        <w:numPr>
          <w:ilvl w:val="0"/>
          <w:numId w:val="2"/>
        </w:numPr>
        <w:spacing w:after="80" w:line="270"/>
      </w:pPr>
      <w:r>
        <w:rPr>
          <w:rFonts w:ascii="Calibri" w:cs="Calibri" w:eastAsia="Calibri" w:hAnsi="Calibri"/>
          <w:sz w:val="21"/>
          <w:szCs w:val="21"/>
        </w:rPr>
        <w:t xml:space="preserve">A secured loan can come out Auto-eligible while Collateral is unassessed.</w:t>
      </w:r>
    </w:p>
    <w:p>
      <w:pPr>
        <w:pStyle w:val="ListParagraph"/>
        <w:numPr>
          <w:ilvl w:val="0"/>
          <w:numId w:val="2"/>
        </w:numPr>
        <w:spacing w:after="80" w:line="270"/>
      </w:pPr>
      <w:r>
        <w:rPr>
          <w:rFonts w:ascii="Calibri" w:cs="Calibri" w:eastAsia="Calibri" w:hAnsi="Calibri"/>
          <w:sz w:val="21"/>
          <w:szCs w:val="21"/>
        </w:rPr>
        <w:t xml:space="preserve">Without credit consent, twelve Character rules each show as waiting, which is noisy.</w:t>
      </w:r>
    </w:p>
    <w:p>
      <w:pPr>
        <w:pStyle w:val="Heading1"/>
        <w:pageBreakBefore/>
        <w:spacing w:after="200" w:before="0"/>
      </w:pPr>
      <w:r>
        <w:t xml:space="preserve">Appendix A. Every rule</w:t>
      </w:r>
    </w:p>
    <w:p>
      <w:pPr>
        <w:spacing w:after="120" w:line="276"/>
      </w:pPr>
      <w:r>
        <w:rPr>
          <w:rFonts w:ascii="Calibri" w:cs="Calibri" w:eastAsia="Calibri" w:hAnsi="Calibri"/>
          <w:sz w:val="21"/>
          <w:szCs w:val="21"/>
        </w:rPr>
        <w:t xml:space="preserve">All 33 rules, in the form the platform stores them. The test column shows the exact expression evaluated against the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3300"/>
        <w:gridCol w:w="2138"/>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Rule</w:t>
            </w:r>
          </w:p>
        </w:tc>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Group</w:t>
            </w:r>
          </w:p>
        </w:tc>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Result</w:t>
            </w:r>
          </w:p>
        </w:tc>
        <w:tc>
          <w:tcPr>
            <w:tcW w:type="dxa" w:w="3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Test (on measures)</w:t>
            </w:r>
          </w:p>
        </w:tc>
        <w:tc>
          <w:tcPr>
            <w:tcW w:type="dxa" w:w="21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Message</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nsr_minimum</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Capacity</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nsr &lt; 1.0</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Surplus doesn't cover the proposed repayment</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nsr_comfortable</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Capacity</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nsr &gt;= 1.0 and nsr &lt; 1.2</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Surplus covers repayment but with limited buffer</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dti_high</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Capacity</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dti &gt; 0.45</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Overall debt-to-income ratio is elevated</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surplus_negative</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Capacity</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monthly_surplus &lt; 0</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Negative monthly surplus after all commitments</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character_required</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credit_score &lt; 0</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Credit character checks not yet available</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contribution_below_minimum</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Capital</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contribution_pct &lt; required_contribution_pct</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Deposit is below the minimum contribution for this product</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contribution_lmi_likely</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Capital</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contribution_pct &gt;= required_contribution_pct and contribution_pct &lt; 20</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Deposit is under 20% of the purchase price; lenders mortgage insurance is likely to apply</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net_assets_negative</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Capital</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net_asset_position &lt; 0</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Declared liabilities exceed declared assets</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credit_score_very_low</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credit_score &lt; 400</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Credit score is in the lowest range</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credit_score_low</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credit_score &gt;= 400 and credit_score &lt; 622</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Credit score is below the 'good' band</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unpaid_default_present</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unpaid_defaults &gt; 0</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Unpaid default listed on the credit file</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paid_default_present</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paid_defaults &gt; 0</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Previous default (since paid) on the credit file</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bankruptcy_or_judgment</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bankruptcy_judgment_status != 'none'</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Bankruptcy, debt agreement or unsatisfied court judgment on file</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severe_arrears_24mo</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worst_rhi_24mo &gt;= 3</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Account 90 or more days overdue in the last 24 months</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recent_arrears_6mo</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worst_rhi_6mo &gt;= 1</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Late payment in the last 6 months</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repeated_missed_payments</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missed_payment_count_24mo &gt;= 3</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Three or more late payments in the last 24 months</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enquiry_velocity_high</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enquiry_velocity_6mo &gt;= 5</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Five or more credit enquiries in the last 6 months</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hardship_recent</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hardship_flags_12mo &gt; 0</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Financial hardship arrangement in the last 12 months</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undisclosed_liabilities_material</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Character</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undisclosed_liabilities &gt; 100</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Credit file shows commitments the applicant did not declare</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net_income_implausible</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Capacity</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gross_annual_income &gt; 30000 and (net_to_gross_ratio &gt; 0.95 or net_to_gross_ratio &lt; 0.5)</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Take-home pay looks out of line with gross income, so the figures need checking</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purpose_excluded</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purpose_eligibility == 'excluded'</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bank does not lend for this purpose on this product</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purpose_not_suited</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purpose_eligibility == 'not_suited_to_product'</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stated purpose does not match what this product is for</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purpose_needs_detail</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purpose_eligibility == 'needs_detail'</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purpose is 'other', so the specific use of funds needs to be confirmed</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product_limits_breached</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product_limit_breaches &gt; 0</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amount or term requested is outside what this product allows</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visa_expires_before_term_end</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visa_shortfall_months &gt; 0</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applicant's visa expires before the end of the loan term</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age_at_maturity_high</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age_at_maturity &gt; max_age_at_maturity</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applicant will be over the policy age when the loan ends, so an exit strategy is needed</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vehicle_too_old</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vehicle_age_assessed &gt; vehicle_age_limit</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vehicle is older than this product allows</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balloon_above_limit</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balloon_pct &gt; max_balloon_pct</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balloon payment is above the bank's maximum</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non_standard_repayment</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repayment_structure != 'principal_and_interest'</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Interest-only or balloon repayments, so suitability must be documented</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stressed_nsr_low</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stressed_nsr &lt; 1.0</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Repayments would not be covered if the applicant's income fell</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employment_ineligible</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8D7D7"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employment_stability == 'ineligible'</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applicant has no employment income to service the loan</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employment_review</w:t>
            </w:r>
          </w:p>
        </w:tc>
        <w:tc>
          <w:tcPr>
            <w:tcW w:type="dxa" w:w="1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onsolas" w:cs="Consolas" w:eastAsia="Consolas" w:hAnsi="Consolas"/>
                <w:sz w:val="15"/>
                <w:szCs w:val="15"/>
              </w:rPr>
              <w:t xml:space="preserve">employment_stability == 'review'</w:t>
            </w:r>
          </w:p>
        </w:tc>
        <w:tc>
          <w:tcPr>
            <w:tcW w:type="dxa" w:w="21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Short time in the role, on probation, or retired, so income stability needs review</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industry_high_risk</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Conditions</w:t>
            </w:r>
          </w:p>
        </w:tc>
        <w:tc>
          <w:tcPr>
            <w:tcW w:type="dxa" w:w="1000"/>
            <w:tcBorders>
              <w:top w:val="single" w:color="BFC7D1" w:sz="4"/>
              <w:left w:val="single" w:color="BFC7D1" w:sz="4"/>
              <w:bottom w:val="single" w:color="BFC7D1" w:sz="4"/>
              <w:right w:val="single" w:color="BFC7D1" w:sz="4"/>
            </w:tcBorders>
            <w:shd w:fill="FFEFC2"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Flag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onsolas" w:cs="Consolas" w:eastAsia="Consolas" w:hAnsi="Consolas"/>
                <w:sz w:val="15"/>
                <w:szCs w:val="15"/>
              </w:rPr>
              <w:t xml:space="preserve">industry_sector_risk == 'high'</w:t>
            </w:r>
          </w:p>
        </w:tc>
        <w:tc>
          <w:tcPr>
            <w:tcW w:type="dxa" w:w="21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applicant works in an industry the bank treats as higher risk</w:t>
            </w:r>
          </w:p>
        </w:tc>
      </w:tr>
    </w:tbl>
    <w:p>
      <w:pPr>
        <w:spacing w:after="120" w:before="160"/>
      </w:pPr>
      <w:r>
        <w:rPr>
          <w:rFonts w:ascii="Calibri" w:cs="Calibri" w:eastAsia="Calibri" w:hAnsi="Calibri"/>
          <w:sz w:val="21"/>
          <w:szCs w:val="21"/>
        </w:rPr>
        <w:t xml:space="preserve">The rule character_required is a placeholder from an earlier version. Its test can never be true, so it never fires. It only waits when there is no credit report.</w:t>
      </w:r>
    </w:p>
    <w:p>
      <w:pPr>
        <w:pStyle w:val="Heading1"/>
        <w:pageBreakBefore/>
        <w:spacing w:after="200" w:before="0"/>
      </w:pPr>
      <w:r>
        <w:t xml:space="preserve">Appendix B. The bank settings used</w:t>
      </w:r>
    </w:p>
    <w:p>
      <w:pPr>
        <w:spacing w:after="120" w:line="276"/>
      </w:pPr>
      <w:r>
        <w:rPr>
          <w:rFonts w:ascii="Calibri" w:cs="Calibri" w:eastAsia="Calibri" w:hAnsi="Calibri"/>
          <w:sz w:val="21"/>
          <w:szCs w:val="21"/>
        </w:rPr>
        <w:t xml:space="preserve">These are the settings the assessment reads. All values are placeholders for demonstration.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Setting</w:t>
            </w:r>
          </w:p>
        </w:tc>
        <w:tc>
          <w:tcPr>
            <w:tcW w:type="dxa" w:w="7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Value</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Income shading rates</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full time 100%; part time 100%; casual 80%; self employed 80%. Employment types not listed are not shaded.</w:t>
            </w:r>
          </w:p>
        </w:tc>
      </w:tr>
      <w:tr>
        <w:trPr>
          <w:cantSplit/>
        </w:trPr>
        <w:tc>
          <w:tcPr>
            <w:tcW w:type="dxa" w:w="2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Living-expense benchmark (per month, by household size)</w:t>
            </w:r>
          </w:p>
        </w:tc>
        <w:tc>
          <w:tcPr>
            <w:tcW w:type="dxa" w:w="70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1 person $2,200; 2 people $3,100; 3 people $3,700; 4 people $4,200; 5 or more people $4,700</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Rate buffer for the affordability test</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3 percentage points above the product rate</w:t>
            </w:r>
          </w:p>
        </w:tc>
      </w:tr>
      <w:tr>
        <w:trPr>
          <w:cantSplit/>
        </w:trPr>
        <w:tc>
          <w:tcPr>
            <w:tcW w:type="dxa" w:w="2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Credit card commitment</w:t>
            </w:r>
          </w:p>
        </w:tc>
        <w:tc>
          <w:tcPr>
            <w:tcW w:type="dxa" w:w="70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3% of total card limits per month (set in the assessment logic)</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Purposes the bank will not fund, by loan type</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personal: business use; home: none; business: none</w:t>
            </w:r>
          </w:p>
        </w:tc>
      </w:tr>
      <w:tr>
        <w:trPr>
          <w:cantSplit/>
        </w:trPr>
        <w:tc>
          <w:tcPr>
            <w:tcW w:type="dxa" w:w="2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What each product is for</w:t>
            </w:r>
          </w:p>
        </w:tc>
        <w:tc>
          <w:tcPr>
            <w:tcW w:type="dxa" w:w="70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vehicle: purchase vehicle; owner occupied: purchase property, home improvement, debt consolidation; investment: purchase property</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Maximum age when the loan ends</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70 years</w:t>
            </w:r>
          </w:p>
        </w:tc>
      </w:tr>
      <w:tr>
        <w:trPr>
          <w:cantSplit/>
        </w:trPr>
        <w:tc>
          <w:tcPr>
            <w:tcW w:type="dxa" w:w="2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Income shock used in the stress test</w:t>
            </w:r>
          </w:p>
        </w:tc>
        <w:tc>
          <w:tcPr>
            <w:tcW w:type="dxa" w:w="70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10%</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Maximum balloon payment</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30% of the vehicle price</w:t>
            </w:r>
          </w:p>
        </w:tc>
      </w:tr>
      <w:tr>
        <w:trPr>
          <w:cantSplit/>
        </w:trPr>
        <w:tc>
          <w:tcPr>
            <w:tcW w:type="dxa" w:w="2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Vehicle age limits</w:t>
            </w:r>
          </w:p>
        </w:tc>
        <w:tc>
          <w:tcPr>
            <w:tcW w:type="dxa" w:w="70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New Vehicle Loan (VL-NEW-020): 3 years at application; Used Vehicle Loan (VL-USED-021): 12 years at the end of the term</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Minimum months in the role</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full time 3; part time 6; casual 12; self employed 24</w:t>
            </w:r>
          </w:p>
        </w:tc>
      </w:tr>
      <w:tr>
        <w:trPr>
          <w:cantSplit/>
        </w:trPr>
        <w:tc>
          <w:tcPr>
            <w:tcW w:type="dxa" w:w="26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Employment that is ineligible, or needs review</w:t>
            </w:r>
          </w:p>
        </w:tc>
        <w:tc>
          <w:tcPr>
            <w:tcW w:type="dxa" w:w="70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Ineligible: unemployed, student. Review: retired.</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Industry risk grades</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high: construction, accommodation food, arts recreation. medium: retail trade, agriculture forestry fishing, mining, transport postal warehousing, administrative support, property rental, wholesale trade, manufacturing, other services. low: utilities, finance insurance, information media telecom, professional scientific technical, public administration safety, education training, health care social assistance</w:t>
            </w:r>
          </w:p>
        </w:tc>
      </w:tr>
    </w:tbl>
    <w:p>
      <w:pPr>
        <w:pStyle w:val="Heading1"/>
        <w:pageBreakBefore/>
        <w:spacing w:after="200" w:before="0"/>
      </w:pPr>
      <w:r>
        <w:t xml:space="preserve">Appendix C.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Term</w:t>
            </w:r>
          </w:p>
        </w:tc>
        <w:tc>
          <w:tcPr>
            <w:tcW w:type="dxa" w:w="6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18"/>
                <w:szCs w:val="18"/>
              </w:rPr>
              <w:t xml:space="preserve">Meaning</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Capacity, Capital, Character, Collateral, Conditions</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five Cs of credit: the five things a lender looks at when deciding whether to lend.</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Assessment rate</w:t>
            </w:r>
          </w:p>
        </w:tc>
        <w:tc>
          <w:tcPr>
            <w:tcW w:type="dxa" w:w="6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interest rate used to test affordability. It is the product’s rate plus a buffer, so the loan is tested against higher rates than the applicant will pay.</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Buffer</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The extra percentage points added to the product’s rate for the affordability test (3 points in the placeholder policy).</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Shading</w:t>
            </w:r>
          </w:p>
        </w:tc>
        <w:tc>
          <w:tcPr>
            <w:tcW w:type="dxa" w:w="6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Counting some income at less than face value, because it is less certain (for example casual or self-employed income).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Take-home pay</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Income after tax, as it arrives in the applicant’s bank account.</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Surplus</w:t>
            </w:r>
          </w:p>
        </w:tc>
        <w:tc>
          <w:tcPr>
            <w:tcW w:type="dxa" w:w="6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money left each month after living expenses, existing debts and the new repayment.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NSR (net surplus ratio)</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Monthly surplus divided by the new repayment. Below 1.0 the new repayment cannot be met.</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DTI and DSR</w:t>
            </w:r>
          </w:p>
        </w:tc>
        <w:tc>
          <w:tcPr>
            <w:tcW w:type="dxa" w:w="6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Debt repayments as a share of gross income, annual (DTI) and monthly (DSR).</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HEM</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Household expenditure measure: a benchmark of what a household of a given size typically spends on living costs.</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LVR (loan-to-value ratio)</w:t>
            </w:r>
          </w:p>
        </w:tc>
        <w:tc>
          <w:tcPr>
            <w:tcW w:type="dxa" w:w="6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loan as a percentage of the value of what secures it. A higher LVR means a smaller deposit and more risk to the lender.</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LMI (lenders mortgage insurance)</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Insurance the borrower pays for when the deposit is small, protecting the lender against loss.</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Repayment history (RHI)</w:t>
            </w:r>
          </w:p>
        </w:tc>
        <w:tc>
          <w:tcPr>
            <w:tcW w:type="dxa" w:w="6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 monthly record on a credit report of whether each account was paid on time: 0 up to date, 1 thirty days late, 2 sixty days, 3 ninety days or more.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Default</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 debt that stayed unpaid long enough to be listed on a credit file.</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Enquiry</w:t>
            </w:r>
          </w:p>
        </w:tc>
        <w:tc>
          <w:tcPr>
            <w:tcW w:type="dxa" w:w="6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 record on a credit file each time a lender checks it because of a credit application.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Balloon payment</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 large final payment at the end of a loan, in exchange for smaller regular repayments.</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Underwriter</w:t>
            </w:r>
          </w:p>
        </w:tc>
        <w:tc>
          <w:tcPr>
            <w:tcW w:type="dxa" w:w="6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A person at the lender who reviews an application and makes the final credit judgement.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Fail, flag, waiting</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spacing w:after="60"/>
            </w:pPr>
            <w:r>
              <w:rPr>
                <w:rFonts w:ascii="Calibri" w:cs="Calibri" w:eastAsia="Calibri" w:hAnsi="Calibri"/>
                <w:sz w:val="18"/>
                <w:szCs w:val="18"/>
              </w:rPr>
              <w:t xml:space="preserve">A failed rule recommends decline. A flagged rule needs a person’s review. A waiting rule cannot run yet because information is missing.</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b/>
                <w:bCs/>
                <w:sz w:val="18"/>
                <w:szCs w:val="18"/>
              </w:rPr>
              <w:t xml:space="preserve">Conditions of approval</w:t>
            </w:r>
          </w:p>
        </w:tc>
        <w:tc>
          <w:tcPr>
            <w:tcW w:type="dxa" w:w="6638"/>
            <w:tcBorders>
              <w:top w:val="single" w:color="BFC7D1" w:sz="4"/>
              <w:left w:val="single" w:color="BFC7D1" w:sz="4"/>
              <w:bottom w:val="single" w:color="BFC7D1" w:sz="4"/>
              <w:right w:val="single" w:color="BFC7D1" w:sz="4"/>
            </w:tcBorders>
            <w:shd w:fill="F6F8FB" w:color="auto" w:val="clear"/>
            <w:tcMar>
              <w:top w:type="dxa" w:w="70"/>
              <w:left w:type="dxa" w:w="110"/>
              <w:bottom w:type="dxa" w:w="70"/>
              <w:right w:type="dxa" w:w="110"/>
            </w:tcMar>
            <w:vAlign w:val="top"/>
          </w:tcPr>
          <w:p>
            <w:pPr>
              <w:spacing w:after="60"/>
            </w:pPr>
            <w:r>
              <w:rPr>
                <w:rFonts w:ascii="Calibri" w:cs="Calibri" w:eastAsia="Calibri" w:hAnsi="Calibri"/>
                <w:sz w:val="18"/>
                <w:szCs w:val="18"/>
              </w:rPr>
              <w:t xml:space="preserve">The things that must be in place before an approved loan can settle, such as a valuation or insurance.</w:t>
            </w:r>
          </w:p>
        </w:tc>
      </w:tr>
    </w:tbl>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472"/>
        <w:sz w:val="16"/>
        <w:szCs w:val="16"/>
      </w:rPr>
      <w:t xml:space="preserve">How a loan application is assessed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A5F"/>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2E6DA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 Loan Application Is Assessed</dc:title>
  <dc:creator>Assessment documentation</dc:creator>
  <cp:lastModifiedBy>Un-named</cp:lastModifiedBy>
  <cp:revision>1</cp:revision>
  <dcterms:created xsi:type="dcterms:W3CDTF">2026-09-21T11:05:24.356Z</dcterms:created>
  <dcterms:modified xsi:type="dcterms:W3CDTF">2026-09-21T11:05:24.362Z</dcterms:modified>
</cp:coreProperties>
</file>

<file path=docProps/custom.xml><?xml version="1.0" encoding="utf-8"?>
<Properties xmlns="http://schemas.openxmlformats.org/officeDocument/2006/custom-properties" xmlns:vt="http://schemas.openxmlformats.org/officeDocument/2006/docPropsVTypes"/>
</file>