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Mizan</w:t>
      </w:r>
      <w:r>
        <w:t xml:space="preserve"> </w:t>
      </w:r>
      <w:r>
        <w:t xml:space="preserve">-</w:t>
      </w:r>
      <w:r>
        <w:t xml:space="preserve"> </w:t>
      </w:r>
      <w:r>
        <w:t xml:space="preserve">Business</w:t>
      </w:r>
      <w:r>
        <w:t xml:space="preserve"> </w:t>
      </w:r>
      <w:r>
        <w:t xml:space="preserve">Requirements</w:t>
      </w:r>
      <w:r>
        <w:t xml:space="preserve"> </w:t>
      </w:r>
      <w:r>
        <w:t xml:space="preserve">Document</w:t>
      </w:r>
      <w:r>
        <w:t xml:space="preserve"> </w:t>
      </w:r>
      <w:r>
        <w:t xml:space="preserve">(excerpts)</w:t>
      </w:r>
    </w:p>
    <w:p>
      <w:pPr>
        <w:pStyle w:val="Author"/>
      </w:pPr>
      <w:r>
        <w:t xml:space="preserve">Imran</w:t>
      </w:r>
      <w:r>
        <w:t xml:space="preserve"> </w:t>
      </w:r>
      <w:r>
        <w:t xml:space="preserve">Kathat,</w:t>
      </w:r>
      <w:r>
        <w:t xml:space="preserve"> </w:t>
      </w:r>
      <w:r>
        <w:t xml:space="preserve">Business</w:t>
      </w:r>
      <w:r>
        <w:t xml:space="preserve"> </w:t>
      </w:r>
      <w:r>
        <w:t xml:space="preserve">Analyst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rPr>
          <w:iCs/>
          <w:i/>
        </w:rPr>
        <w:t xml:space="preserve">Invoice and Bank Reconciliation Workflow</w:t>
      </w:r>
    </w:p>
    <w:bookmarkStart w:id="20" w:name="document-control"/>
    <w:p>
      <w:pPr>
        <w:pStyle w:val="Heading1"/>
      </w:pPr>
      <w:r>
        <w:t xml:space="preserve">1. Document control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 xml:space="preserve">Version</w:t>
            </w:r>
          </w:p>
        </w:tc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 xml:space="preserve">Date</w:t>
            </w:r>
          </w:p>
        </w:tc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 xml:space="preserve">Author</w:t>
            </w:r>
          </w:p>
        </w:tc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 xml:space="preserve">Change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0.1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2024-10-18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Imran Kathat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Draft after discovery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0.9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2024-10-25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Imran Kathat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Stakeholder review comments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1.0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2024-11-01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Imran Kathat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Signed off by Finance Controller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1.1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2024-12-18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Imran Kathat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CR-002, CR-003, CR-004 incorporated</w:t>
            </w:r>
          </w:p>
        </w:tc>
      </w:tr>
    </w:tbl>
    <w:p>
      <w:pPr>
        <w:pStyle w:val="BodyText"/>
      </w:pPr>
      <w:r>
        <w:t xml:space="preserve">Simulated portfolio project. Client, people and data are fictional.</w:t>
      </w:r>
    </w:p>
    <w:bookmarkEnd w:id="20"/>
    <w:bookmarkStart w:id="21" w:name="business-objectives"/>
    <w:p>
      <w:pPr>
        <w:pStyle w:val="Heading1"/>
      </w:pPr>
      <w:r>
        <w:t xml:space="preserve">2. Business objectives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 xml:space="preserve">ID</w:t>
            </w:r>
          </w:p>
        </w:tc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 xml:space="preserve">Objective</w:t>
            </w:r>
          </w:p>
        </w:tc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 xml:space="preserve">Measure</w:t>
            </w:r>
          </w:p>
        </w:tc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 xml:space="preserve">Target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OBJ-1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Remove manual handoffs from the daily reconciliation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Handoffs per cycle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4 to 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OBJ-2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Shorten gateway-fee dispute turnaround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Average working days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5.0 to 3.5 (30% reduction)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OBJ-3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Explain every difference to AED 0.50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Net variance explained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100% of settled 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OBJ-4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Audit-ready trail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Approvals with approver, timestamp and journal reference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100%</w:t>
            </w:r>
          </w:p>
        </w:tc>
      </w:tr>
    </w:tbl>
    <w:bookmarkEnd w:id="21"/>
    <w:bookmarkStart w:id="22" w:name="scope"/>
    <w:p>
      <w:pPr>
        <w:pStyle w:val="Heading1"/>
      </w:pPr>
      <w:r>
        <w:t xml:space="preserve">3. Scope</w:t>
      </w:r>
    </w:p>
    <w:p>
      <w:pPr>
        <w:pStyle w:val="FirstParagraph"/>
      </w:pPr>
      <w:r>
        <w:rPr>
          <w:bCs/>
          <w:b/>
        </w:rPr>
        <w:t xml:space="preserve">In scope:</w:t>
      </w:r>
      <w:r>
        <w:t xml:space="preserve"> </w:t>
      </w:r>
      <w:r>
        <w:t xml:space="preserve">card, wallet and instant-payment sale settlements from two gateways; ledger invoice matching; fee pricing with VAT on fee; UTC/GST timing; orphan detection; exception routing and approval; ERP journal posting; KPI reporting; audit export.</w:t>
      </w:r>
    </w:p>
    <w:p>
      <w:pPr>
        <w:pStyle w:val="BodyText"/>
      </w:pPr>
      <w:r>
        <w:rPr>
          <w:bCs/>
          <w:b/>
        </w:rPr>
        <w:t xml:space="preserve">Out of scope for 1.0:</w:t>
      </w:r>
      <w:r>
        <w:t xml:space="preserve"> </w:t>
      </w:r>
      <w:r>
        <w:t xml:space="preserve">refunds and chargebacks (CR-001, release 1.1); multi-currency settlement; bank statement line-level matching beyond gateway batch totals; customer-facing dispute portal.</w:t>
      </w:r>
    </w:p>
    <w:bookmarkEnd w:id="22"/>
    <w:bookmarkStart w:id="23" w:name="business-requirements"/>
    <w:p>
      <w:pPr>
        <w:pStyle w:val="Heading1"/>
      </w:pPr>
      <w:r>
        <w:t xml:space="preserve">4. Business requirements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 xml:space="preserve">ID</w:t>
            </w:r>
          </w:p>
        </w:tc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 xml:space="preserve">Requirement</w:t>
            </w:r>
          </w:p>
        </w:tc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 xml:space="preserve">Priority</w:t>
            </w:r>
          </w:p>
        </w:tc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 xml:space="preserve">Source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BR-01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Eliminate manual portal exports, spreadsheet matching and email approvals from daily reconciliation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Must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Finance Controller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BR-02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Reconcile every gateway settlement to a ledger invoice with net variance explained to AED 0.50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Must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Finance Controller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BR-03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Every unmatched item has an owner, a flag and a due time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Must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Finance Manager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BR-04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Management can see match rate, clearance velocity and daily resolution rate without asking for spreadsheets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Should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Finance Controller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BR-05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Every adjustment is approved, posted and traceable for audit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Must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Internal Audit</w:t>
            </w:r>
          </w:p>
        </w:tc>
      </w:tr>
    </w:tbl>
    <w:bookmarkEnd w:id="23"/>
    <w:bookmarkStart w:id="24" w:name="functional-requirements"/>
    <w:p>
      <w:pPr>
        <w:pStyle w:val="Heading1"/>
      </w:pPr>
      <w:r>
        <w:t xml:space="preserve">5. Functional requirements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 xml:space="preserve">ID</w:t>
            </w:r>
          </w:p>
        </w:tc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 xml:space="preserve">Requirement</w:t>
            </w:r>
          </w:p>
        </w:tc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 xml:space="preserve">Priority</w:t>
            </w:r>
          </w:p>
        </w:tc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 xml:space="preserve">Story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FR-01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Ingest gateway settlement batches via signed webhook with idempotency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Must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MIZ-101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FR-02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Detect and backfill missing batches by scheduled polling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Should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MIZ-102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FR-03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Match settlements to the latest non-void ledger invoice by gateway and transaction reference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Must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MIZ-103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FR-04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Price each settlement against the fee schedule effective on its settlement date, including 5% VAT on the fee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Must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MIZ-104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FR-05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Report dates in GST and tag differences that are explained only by the UTC/GST boundary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Must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MIZ-105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FR-06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Flag orphaned gateway and ledger records after a 3-working-day grace period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Must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MIZ-106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FR-07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Route exceptions to owner queues by flag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Should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MIZ-107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FR-08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Require manager approval above AED 5,000 with a 4-working-hour SLA and escalation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Must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MIZ-108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FR-09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Post approved journals to the ERP once, linked to the exception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Must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MIZ-109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FR-10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Provide KPI dashboard and exception tracker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Should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MIZ-110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FR-11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Export period audit report with approver, timestamps and journal reference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Should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MIZ-111</w:t>
            </w:r>
          </w:p>
        </w:tc>
      </w:tr>
    </w:tbl>
    <w:bookmarkEnd w:id="24"/>
    <w:bookmarkStart w:id="25" w:name="non-functional-requirements"/>
    <w:p>
      <w:pPr>
        <w:pStyle w:val="Heading1"/>
      </w:pPr>
      <w:r>
        <w:t xml:space="preserve">6. Non-functional requirements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 xml:space="preserve">ID</w:t>
            </w:r>
          </w:p>
        </w:tc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 xml:space="preserve">Requirement</w:t>
            </w:r>
          </w:p>
        </w:tc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 xml:space="preserve">Priority</w:t>
            </w:r>
          </w:p>
        </w:tc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 xml:space="preserve">Story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NFR-01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Process a 26,000-row monthly volume reconciliation in under 5 minutes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Must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MIZ-103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NFR-02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Exception rows are append-only; no delete privilege for application roles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Must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MIZ-108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NFR-03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Store timestamps in UTC and display GST; weekend is Saturday-Sunday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Must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MIZ-105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NFR-04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Webhook endpoint availability 99.5% in business hours with 15-minute fallback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Should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MIZ-102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NFR-05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Keep financial records for 5 years (VAT) in a UAE-hosted region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Must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MIZ-111</w:t>
            </w:r>
          </w:p>
        </w:tc>
      </w:tr>
    </w:tbl>
    <w:bookmarkEnd w:id="25"/>
    <w:bookmarkStart w:id="26" w:name="business-rules-catalogue"/>
    <w:p>
      <w:pPr>
        <w:pStyle w:val="Heading1"/>
      </w:pPr>
      <w:r>
        <w:t xml:space="preserve">7. Business rules catalogue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 xml:space="preserve">ID</w:t>
            </w:r>
          </w:p>
        </w:tc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 xml:space="preserve">Rule</w:t>
            </w:r>
          </w:p>
        </w:tc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 xml:space="preserve">Example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BRL-01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Expected bank credit = invoice gross - contracted fee - VAT on fee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Gross 5,250.00; fee 127.00; VAT 6.35; expected 5,116.65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BRL-02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Contracted fee = gross x percentage + fixed fee, rounded to 2 decimals, using the schedule effective on the settlement date (GST)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CARD_VISA 2.40% + AED 1.00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BRL-03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VAT on fee = 5% of fee, rounded per row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127.00 x 5% = 6.35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BRL-04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Ledger VAT = gross / 1.05 x 0.05 (gross is VAT-inclusive)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1,000.00 gives 47.62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BRL-05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Match tolerance is AED 0.50 on net variance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999.70 vs 1,000.00 is a match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BRL-06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Timing mismatch applies only when amounts match within tolerance and the ledger date equals the UTC date while the GST date is the next day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30 Nov 21:40 UTC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BRL-07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Orphan grace period is 3 working days (Monday to Friday) after ledger posting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CR-002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BRL-08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Variances above AED 5,000.00 need Finance Manager approval within 4 working hours, then escalate to the Controller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boundary at 5,000.00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BRL-09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When two non-void invoices exist for one transaction, the latest issued invoice is used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re-issued invoices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BRL-10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Exception rows are never deleted; corrections add a new status and note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audit</w:t>
            </w:r>
          </w:p>
        </w:tc>
      </w:tr>
    </w:tbl>
    <w:bookmarkEnd w:id="26"/>
    <w:bookmarkStart w:id="27" w:name="gap-analysis"/>
    <w:p>
      <w:pPr>
        <w:pStyle w:val="Heading1"/>
      </w:pPr>
      <w:r>
        <w:t xml:space="preserve">8. Gap analysis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 xml:space="preserve">Area</w:t>
            </w:r>
          </w:p>
        </w:tc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 xml:space="preserve">As-Is</w:t>
            </w:r>
          </w:p>
        </w:tc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 xml:space="preserve">To-Be</w:t>
            </w:r>
          </w:p>
        </w:tc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 xml:space="preserve">Gap closed by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Data acquisition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Manual portal export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Signed webhook plus 15-minute polling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MIZ-101, MIZ-102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Matching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Excel VLOOKUP, exact match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Set-based SQL, tolerance, fee pricing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MIZ-103, MIZ-104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Timing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None; analysts reason about dates by hand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UTC/GST classification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MIZ-105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Orphans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Found at month-end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Daily, with grace period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MIZ-106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Approval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Email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In-tool, SLA, audit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MIZ-108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Ledger adjustment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Manual journal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API posting linked to exception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MIZ-109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Reporting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Controller asks for spreadsheet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Dashboard and tracker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MIZ-110, MIZ-111</w:t>
            </w:r>
          </w:p>
        </w:tc>
      </w:tr>
    </w:tbl>
    <w:bookmarkEnd w:id="27"/>
    <w:bookmarkStart w:id="28" w:name="raci-summary"/>
    <w:p>
      <w:pPr>
        <w:pStyle w:val="Heading1"/>
      </w:pPr>
      <w:r>
        <w:t xml:space="preserve">9. RACI (summary)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879"/>
        <w:gridCol w:w="879"/>
        <w:gridCol w:w="879"/>
        <w:gridCol w:w="879"/>
        <w:gridCol w:w="879"/>
        <w:gridCol w:w="879"/>
        <w:gridCol w:w="879"/>
        <w:gridCol w:w="879"/>
        <w:gridCol w:w="879"/>
      </w:tblGrid>
      <w:tr>
        <w:trPr>
          <w:tblHeader w:val="true"/>
        </w:trPr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 xml:space="preserve">Activity</w:t>
            </w:r>
          </w:p>
        </w:tc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 xml:space="preserve">Controller (PO)</w:t>
            </w:r>
          </w:p>
        </w:tc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 xml:space="preserve">Finance Mgr</w:t>
            </w:r>
          </w:p>
        </w:tc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 xml:space="preserve">Analyst</w:t>
            </w:r>
          </w:p>
        </w:tc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 xml:space="preserve">Eng Lead</w:t>
            </w:r>
          </w:p>
        </w:tc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 xml:space="preserve">QA Lead</w:t>
            </w:r>
          </w:p>
        </w:tc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 xml:space="preserve">BA</w:t>
            </w:r>
          </w:p>
        </w:tc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 xml:space="preserve">Data Eng</w:t>
            </w:r>
          </w:p>
        </w:tc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 xml:space="preserve">Audit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Elicitation workshops and interviews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R/A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BRD authoring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BRD sign-off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A/R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Backlog prioritization (MoSCoW)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Gherkin acceptance criteria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Matching and tolerance rules definition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Fee schedule data supply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Build ingestion and matching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A/R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ERP integration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A/R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Test planning and fixtures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A/R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UAT execution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UAT sign-off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A/R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Change control decisions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A/R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KPI definitions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Audit evidence requirements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Go-live decision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A/R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I</w:t>
            </w:r>
          </w:p>
        </w:tc>
      </w:tr>
    </w:tbl>
    <w:bookmarkEnd w:id="28"/>
    <w:bookmarkStart w:id="29" w:name="success-measures-and-results"/>
    <w:p>
      <w:pPr>
        <w:pStyle w:val="Heading1"/>
      </w:pPr>
      <w:r>
        <w:t xml:space="preserve">10. Success measures and results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 xml:space="preserve">Measure</w:t>
            </w:r>
          </w:p>
        </w:tc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 xml:space="preserve">Target</w:t>
            </w:r>
          </w:p>
        </w:tc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 xml:space="preserve">Result in simulated December 2024 run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Handoffs per cycle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Median clearance of fee-variance exceptions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&lt;= 3.5 working days (84 elapsed working hours)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83.5 hours, about 3.5 working days (30% below the 5.0-day baseline)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Match rate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&gt;= 97%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97.4% (25,320 of 26,000)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Open exceptions older than SLA at close of period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0 above AED 5,000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0</w:t>
            </w:r>
          </w:p>
        </w:tc>
      </w:tr>
    </w:tbl>
    <w:p>
      <w:pPr>
        <w:pStyle w:val="BodyText"/>
      </w:pPr>
      <w:r>
        <w:t xml:space="preserve">The results are simulated: the December 2024 data set is synthetic and was reconciled with the same rules as the SQL in</w:t>
      </w:r>
      <w:r>
        <w:t xml:space="preserve"> </w:t>
      </w:r>
      <w:r>
        <w:rPr>
          <w:rStyle w:val="VerbatimChar"/>
        </w:rPr>
        <w:t xml:space="preserve">05-Data-and-Code</w:t>
      </w:r>
      <w:r>
        <w:t xml:space="preserve">.</w:t>
      </w:r>
    </w:p>
    <w:bookmarkEnd w:id="29"/>
    <w:bookmarkStart w:id="30" w:name="sign-off"/>
    <w:p>
      <w:pPr>
        <w:pStyle w:val="Heading1"/>
      </w:pPr>
      <w:r>
        <w:t xml:space="preserve">11. Sign-off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 xml:space="preserve">Role</w:t>
            </w:r>
          </w:p>
        </w:tc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 xml:space="preserve">Name (fictional)</w:t>
            </w:r>
          </w:p>
        </w:tc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 xml:space="preserve">Decision</w:t>
            </w:r>
          </w:p>
        </w:tc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 xml:space="preserve">Date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Finance Controller (Product Owner)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Maryam Al Hosani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Approved v1.0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2024-11-01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Finance Manager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Karthik Raman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Approved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2024-11-01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Engineering Lead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Daniel Okafor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Approved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2024-11-01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Internal Audit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Hassan Raza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Approved with note on 5-year retention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2024-11-01</w:t>
            </w:r>
          </w:p>
        </w:tc>
      </w:tr>
    </w:tbl>
    <w:bookmarkEnd w:id="30"/>
    <w:sectPr>
      <w:footerReference w:type="default" r:id="rId9"/>
      <w:pgMar w:left="1134" w:right="1134" w:top="1134" w:bottom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707070"/>
        <w:sz w:val="16"/>
      </w:rPr>
      <w:t>Simulated portfolio project - fictional client, synthetic data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rial" w:hAnsi="Arial"/>
      <w:sz w:val="20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Arial" w:hAnsi="Arial"/>
      <w:sz w:val="20"/>
    </w:rPr>
  </w:style>
  <w:style w:customStyle="1" w:styleId="FirstParagraph" w:type="paragraph">
    <w:name w:val="First Paragraph"/>
    <w:basedOn w:val="BodyText"/>
    <w:next w:val="BodyText"/>
    <w:qFormat/>
    <w:rPr>
      <w:rFonts w:ascii="Arial" w:hAnsi="Arial"/>
      <w:sz w:val="20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Arial" w:hAnsi="Arial"/>
      <w:sz w:val="20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 w:ascii="Arial" w:hAnsi="Arial" w:eastAsia="Arial"/>
      <w:b/>
      <w:bCs/>
      <w:color w:val="1F3A5F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Arial" w:hAnsi="Arial"/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Arial" w:hAnsi="Arial"/>
    </w:rPr>
  </w:style>
  <w:style w:styleId="Date" w:type="paragraph">
    <w:name w:val="Date"/>
    <w:next w:val="BodyText"/>
    <w:qFormat/>
    <w:pPr>
      <w:keepNext/>
      <w:keepLines/>
      <w:jc w:val="center"/>
    </w:pPr>
    <w:rPr>
      <w:rFonts w:ascii="Arial" w:hAnsi="Arial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rFonts w:ascii="Arial" w:hAnsi="Arial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Arial" w:hAnsi="Arial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Arial" w:hAnsi="Arial"/>
    </w:rPr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 w:ascii="Arial" w:hAnsi="Arial" w:eastAsia="Arial"/>
      <w:b/>
      <w:bCs/>
      <w:color w:val="1F3A5F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 w:ascii="Arial" w:hAnsi="Arial" w:eastAsia="Arial"/>
      <w:b/>
      <w:bCs/>
      <w:color w:val="1F3A5F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 w:ascii="Arial" w:hAnsi="Arial" w:eastAsia="Arial"/>
      <w:b/>
      <w:bCs/>
      <w:color w:val="1F3A5F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 w:ascii="Arial" w:hAnsi="Arial" w:eastAsia="Arial"/>
      <w:i/>
      <w:bCs/>
      <w:color w:val="1F3A5F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 w:ascii="Arial" w:hAnsi="Arial" w:eastAsia="Arial"/>
      <w:iCs/>
      <w:color w:val="1F3A5F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 w:ascii="Arial" w:hAnsi="Arial" w:eastAsia="Arial"/>
      <w:color w:val="1F3A5F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 w:ascii="Arial" w:hAnsi="Arial" w:eastAsia="Arial"/>
      <w:color w:val="1F3A5F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 w:ascii="Arial" w:hAnsi="Arial" w:eastAsia="Arial"/>
      <w:color w:val="1F3A5F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 w:ascii="Arial" w:hAnsi="Arial" w:eastAsia="Arial"/>
      <w:color w:val="1F3A5F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Arial" w:hAnsi="Arial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Arial" w:hAnsi="Arial"/>
    </w:r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Arial" w:hAnsi="Arial"/>
      <w:b/>
    </w:rPr>
  </w:style>
  <w:style w:customStyle="1" w:styleId="Definition" w:type="paragraph">
    <w:name w:val="Definition"/>
    <w:basedOn w:val="Normal"/>
    <w:rPr>
      <w:rFonts w:ascii="Arial" w:hAnsi="Arial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Arial" w:hAnsi="Arial"/>
      <w:i/>
    </w:rPr>
  </w:style>
  <w:style w:customStyle="1" w:styleId="TableCaption" w:type="paragraph">
    <w:name w:val="Table Caption"/>
    <w:basedOn w:val="Caption"/>
    <w:pPr>
      <w:keepNext/>
    </w:pPr>
    <w:rPr>
      <w:rFonts w:ascii="Arial" w:hAnsi="Arial"/>
    </w:rPr>
  </w:style>
  <w:style w:customStyle="1" w:styleId="ImageCaption" w:type="paragraph">
    <w:name w:val="Image Caption"/>
    <w:basedOn w:val="Caption"/>
    <w:rPr>
      <w:rFonts w:ascii="Arial" w:hAnsi="Arial"/>
    </w:rPr>
  </w:style>
  <w:style w:customStyle="1" w:styleId="Figure" w:type="paragraph">
    <w:name w:val="Figure"/>
    <w:basedOn w:val="Normal"/>
    <w:rPr>
      <w:rFonts w:ascii="Arial" w:hAnsi="Arial"/>
    </w:rPr>
  </w:style>
  <w:style w:customStyle="1" w:styleId="CaptionedFigure" w:type="paragraph">
    <w:name w:val="Captioned Figure"/>
    <w:basedOn w:val="Figure"/>
    <w:pPr>
      <w:keepNext/>
    </w:pPr>
    <w:rPr>
      <w:rFonts w:ascii="Arial" w:hAnsi="Arial"/>
    </w:r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 w:ascii="Arial" w:hAnsi="Arial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Consolas" w:hAnsi="Consolas"/>
      <w:sz w:val="16"/>
    </w:r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Mizan - Business Requirements Document (excerpts)</dc:title>
  <dc:creator>Imran Kathat, Business Analyst</dc:creator>
  <cp:keywords/>
  <dcterms:created xsi:type="dcterms:W3CDTF">2026-10-02T16:01:57Z</dcterms:created>
  <dcterms:modified xsi:type="dcterms:W3CDTF">2026-10-02T16:01:57Z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