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Mizan</w:t>
      </w:r>
      <w:r>
        <w:t xml:space="preserve"> </w:t>
      </w:r>
      <w:r>
        <w:t xml:space="preserve">-</w:t>
      </w:r>
      <w:r>
        <w:t xml:space="preserve"> </w:t>
      </w:r>
      <w:r>
        <w:t xml:space="preserve">Requirements</w:t>
      </w:r>
      <w:r>
        <w:t xml:space="preserve"> </w:t>
      </w:r>
      <w:r>
        <w:t xml:space="preserve">Gathering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Cs/>
          <w:i/>
        </w:rPr>
        <w:t xml:space="preserve">Invoice and Bank Reconciliation Workflow</w:t>
      </w:r>
    </w:p>
    <w:bookmarkStart w:id="20" w:name="purpose-and-context"/>
    <w:p>
      <w:pPr>
        <w:pStyle w:val="Heading1"/>
      </w:pPr>
      <w:r>
        <w:t xml:space="preserve">1. Purpose and context</w:t>
      </w:r>
    </w:p>
    <w:p>
      <w:pPr>
        <w:pStyle w:val="FirstParagraph"/>
      </w:pPr>
      <w:r>
        <w:t xml:space="preserve">Project Mizan replaces a manual daily reconciliation between payment-gateway settlements, bank credits and the internal invoice ledger at a fictional Dubai marketplace that settles about 26,000 card, wallet and instant-payment transactions a month through two gateways. Simulated portfolio project. Client, people and data are fictional.</w:t>
      </w:r>
    </w:p>
    <w:p>
      <w:pPr>
        <w:pStyle w:val="BodyText"/>
      </w:pPr>
      <w:r>
        <w:t xml:space="preserve">Discovery ran from 7 to 18 October 2024 (Sprint 0). This report records how requirements were gathered, what was found, and how each finding became a traceable requirement.</w:t>
      </w:r>
    </w:p>
    <w:bookmarkEnd w:id="20"/>
    <w:bookmarkStart w:id="21" w:name="elicitation-plan"/>
    <w:p>
      <w:pPr>
        <w:pStyle w:val="Heading1"/>
      </w:pPr>
      <w:r>
        <w:t xml:space="preserve">2. Elicitation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Technique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Participants / source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Stakeholder interviews (6 x 45 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Controller, Finance Manager, Analyst, Revenue Accountant, Head of Payments, 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Pain points, rules,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Process shadowing (2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Analyst at daily close and at month-end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Timed As-Is process, four handoffs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Document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 months of reconciliation spreadsheets; gateway settlement files; fee contracts; ledger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Fee schedules, field mapping, break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Workshop (2 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All finance stakeholders, Engineering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Agreed As-Is BPMN and To-Be principles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Data profiling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 week of gateway and ledger data loaded to a scratch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Orphan rate, timezone drift, duplicate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Prototype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Draft SQL output on the profiled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Validated tolerance and tag definitions</w:t>
            </w:r>
          </w:p>
        </w:tc>
      </w:tr>
    </w:tbl>
    <w:bookmarkEnd w:id="21"/>
    <w:bookmarkStart w:id="22" w:name="interview-findings"/>
    <w:p>
      <w:pPr>
        <w:pStyle w:val="Heading1"/>
      </w:pPr>
      <w:r>
        <w:t xml:space="preserve">3. Interview findings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Stakeholder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What they told us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 raised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About two hours a day downloading portal files and running VLOOKUP; any fee difference shows as a break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FR-01, FR-03, FR-04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Revenue Accountant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Settlements after 20:00 UTC land on the next day in Dubai; ledger for one entity stamps the UTC date, so month-end totals never 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FR-05, NFR-03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Head of 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Cannot dispute gateway fees without per-transaction evidence of contracted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Approves by replying to emails; cannot show who approved what 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FR-08, NFR-02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Needs period export of exceptions, approver, timestamps, journals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FR-11, BR-05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Wants match rate and clearance speed without asking for spreadsheets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BR-04, FR-10</w:t>
            </w:r>
          </w:p>
        </w:tc>
      </w:tr>
    </w:tbl>
    <w:bookmarkEnd w:id="22"/>
    <w:bookmarkStart w:id="23" w:name="X971537e26dcb7033b965b8e911a844ac21f0827"/>
    <w:p>
      <w:pPr>
        <w:pStyle w:val="Heading1"/>
      </w:pPr>
      <w:r>
        <w:t xml:space="preserve">4. Baseline observations (from spreadsheet analysis, 3 months)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Measure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Handoffs per reconciliation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4 (portal export, spreadsheet matching, email approval, manual journal)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Dispute turnaround, gateway fee 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5.0 working days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Breaks explained by UTC/GST date 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about 55% of month-end breaks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Journals keyed by hand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every exception</w:t>
            </w:r>
          </w:p>
        </w:tc>
      </w:tr>
    </w:tbl>
    <w:p>
      <w:pPr>
        <w:pStyle w:val="BodyText"/>
      </w:pPr>
      <w:r>
        <w:t xml:space="preserve">The baseline figures are simulated for this portfolio and are used as the comparison point for the benefit statement in the BRD.</w:t>
      </w:r>
    </w:p>
    <w:bookmarkEnd w:id="23"/>
    <w:bookmarkStart w:id="24" w:name="open-questions-and-answers"/>
    <w:p>
      <w:pPr>
        <w:pStyle w:val="Heading1"/>
      </w:pPr>
      <w:r>
        <w:t xml:space="preserve">5. Open questions and answers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#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Question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Answer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Is the AED 1.00 tolerance still right at 2% fees?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Reduced to AED 0.50 (CR-003)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Karthik Raman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2024-11-22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Do refunds and chargebacks belong in release 1.0?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No, release 1.1 (CR-001)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Maryam Al Hosani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2024-11-12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Which clock does the ledger use for posting date?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Server clock (UTC) for one entity; GST for the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Priya Menon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2024-10-16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Does the ERP allow idempotent journal creation?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Yes, via external reference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Daniel Okafor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2024-10-30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Who owns orphaned ledger records?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Revenue accounting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Maryam Al Hosani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2024-10-17</w:t>
            </w:r>
          </w:p>
        </w:tc>
      </w:tr>
    </w:tbl>
    <w:bookmarkEnd w:id="24"/>
    <w:bookmarkStart w:id="25" w:name="requirements-summary-and-traceability"/>
    <w:p>
      <w:pPr>
        <w:pStyle w:val="Heading1"/>
      </w:pPr>
      <w:r>
        <w:t xml:space="preserve">6. Requirements summary and traceability</w:t>
      </w:r>
    </w:p>
    <w:p>
      <w:pPr>
        <w:pStyle w:val="FirstParagraph"/>
      </w:pPr>
      <w:r>
        <w:t xml:space="preserve">Full list with UAT mapping: workbook sheet</w:t>
      </w:r>
      <w:r>
        <w:t xml:space="preserve"> </w:t>
      </w:r>
      <w:r>
        <w:rPr>
          <w:rStyle w:val="VerbatimChar"/>
        </w:rPr>
        <w:t xml:space="preserve">Requirements Trace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Type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Source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Epic / 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Eliminate manual portal exports, spreadsheet matching and email approvals from daily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MIZ-E1, MIZ-E4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Reconcile every gateway settlement to a ledger invoice with net variance explained to AED 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Every unmatched item has an owner, a flag and a due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Management can see match rate, clearance velocity and daily resolution rate without asking for spreadsheets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MIZ-E5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Every adjustment is approved, posted and traceable for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MIZ-E4, MIZ-E5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Ingest gateway settlement batches via signed webhook with idempotency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Detect and backfill missing batches by scheduled polling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Ops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Match settlements to the latest non-void ledger invoice by gateway and transaction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Price each settlement against the fee schedule effective on its settlement date, including 5% VAT on the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Head of 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Report dates in GST and tag differences that are explained only by the UTC/GST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Revenue Accountant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Flag orphaned gateway and ledger records after a 3-working-day grace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Route exceptions to owner queues by 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Ops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Require manager approval above AED 5,000 with a 4-working-hour SLA and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Post approved journals to the ERP once, linked to the 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Provide KPI dashboard and exception 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Export period audit report with approver, timestamps and journal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Process a 26,000-row monthly volume reconciliation in under 5 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Eng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Exception rows are append-only; no delete privilege for application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Store timestamps in UTC and display GST; weekend is Saturday-Sunday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Webhook endpoint availability 99.5% in business hours with 15-minute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Eng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Keep financial records for 5 years (VAT) in a UAE-hosted 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MIZ-111</w:t>
            </w:r>
          </w:p>
        </w:tc>
      </w:tr>
    </w:tbl>
    <w:bookmarkEnd w:id="25"/>
    <w:bookmarkStart w:id="26" w:name="assumptions-and-constraints"/>
    <w:p>
      <w:pPr>
        <w:pStyle w:val="Heading1"/>
      </w:pPr>
      <w:r>
        <w:t xml:space="preserve">7. Assumptions and constraints</w:t>
      </w:r>
    </w:p>
    <w:p>
      <w:pPr>
        <w:numPr>
          <w:ilvl w:val="0"/>
          <w:numId w:val="1001"/>
        </w:numPr>
        <w:pStyle w:val="Compact"/>
      </w:pPr>
      <w:r>
        <w:t xml:space="preserve">Gateways supply HMAC-signed webhooks and a batch-listing API (validated 14 October).</w:t>
      </w:r>
    </w:p>
    <w:p>
      <w:pPr>
        <w:numPr>
          <w:ilvl w:val="0"/>
          <w:numId w:val="1001"/>
        </w:numPr>
        <w:pStyle w:val="Compact"/>
      </w:pPr>
      <w:r>
        <w:t xml:space="preserve">Contracted fee schedules exist per rail; the AANI schedule was missing and handled in CR-004.</w:t>
      </w:r>
    </w:p>
    <w:p>
      <w:pPr>
        <w:numPr>
          <w:ilvl w:val="0"/>
          <w:numId w:val="1001"/>
        </w:numPr>
        <w:pStyle w:val="Compact"/>
      </w:pPr>
      <w:r>
        <w:t xml:space="preserve">Amounts are AED; VAT is 5%; the UAE working week is Monday to Friday.</w:t>
      </w:r>
    </w:p>
    <w:p>
      <w:pPr>
        <w:numPr>
          <w:ilvl w:val="0"/>
          <w:numId w:val="1001"/>
        </w:numPr>
        <w:pStyle w:val="Compact"/>
      </w:pPr>
      <w:r>
        <w:t xml:space="preserve">Financial records are retained for five years in a UAE-hosted region.</w:t>
      </w:r>
    </w:p>
    <w:bookmarkEnd w:id="26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Mizan - Requirements Gathering Report</dc:title>
  <dc:creator>Imran Kathat, Business Analyst</dc:creator>
  <cp:keywords/>
  <dcterms:created xsi:type="dcterms:W3CDTF">2026-10-02T16:01:56Z</dcterms:created>
  <dcterms:modified xsi:type="dcterms:W3CDTF">2026-10-02T16:01:56Z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