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Masroof</w:t>
      </w:r>
      <w:r>
        <w:t xml:space="preserve"> </w:t>
      </w:r>
      <w:r>
        <w:t xml:space="preserve">-</w:t>
      </w:r>
      <w:r>
        <w:t xml:space="preserve"> </w:t>
      </w:r>
      <w:r>
        <w:t xml:space="preserve">Business</w:t>
      </w:r>
      <w:r>
        <w:t xml:space="preserve"> </w:t>
      </w:r>
      <w:r>
        <w:t xml:space="preserve">Requirements</w:t>
      </w:r>
      <w:r>
        <w:t xml:space="preserve"> </w:t>
      </w:r>
      <w:r>
        <w:t xml:space="preserve">Document</w:t>
      </w:r>
    </w:p>
    <w:p>
      <w:pPr>
        <w:pStyle w:val="Author"/>
      </w:pPr>
      <w:r>
        <w:t xml:space="preserve">Imran</w:t>
      </w:r>
      <w:r>
        <w:t xml:space="preserve"> </w:t>
      </w:r>
      <w:r>
        <w:t xml:space="preserve">Kathat,</w:t>
      </w:r>
      <w:r>
        <w:t xml:space="preserve"> </w:t>
      </w:r>
      <w:r>
        <w:t xml:space="preserve">Business</w:t>
      </w:r>
      <w:r>
        <w:t xml:space="preserve"> </w:t>
      </w:r>
      <w:r>
        <w:t xml:space="preserve">Analyst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document-control"/>
    <w:p>
      <w:pPr>
        <w:pStyle w:val="Heading1"/>
      </w:pPr>
      <w:r>
        <w:t xml:space="preserve">1. Document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Author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2025-02-12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Imran Kathat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2025-02-14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Imran Kathat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Baselined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2025-03-14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Imran Kathat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CR-001, CR-003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2025-05-14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Imran Kathat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CR-004, CR-005</w:t>
            </w:r>
          </w:p>
        </w:tc>
      </w:tr>
    </w:tbl>
    <w:p>
      <w:pPr>
        <w:pStyle w:val="BodyText"/>
      </w:pPr>
      <w:r>
        <w:t xml:space="preserve">Simulated portfolio project. Client, people and data are fictional.</w:t>
      </w:r>
    </w:p>
    <w:bookmarkEnd w:id="20"/>
    <w:bookmarkStart w:id="21" w:name="business-objectives"/>
    <w:p>
      <w:pPr>
        <w:pStyle w:val="Heading1"/>
      </w:pPr>
      <w:r>
        <w:t xml:space="preserve">2. Business objectives</w:t>
      </w:r>
    </w:p>
    <w:p>
      <w:pPr>
        <w:pStyle w:val="FirstParagraph"/>
      </w:pPr>
      <w:r>
        <w:t xml:space="preserve">See charter: OBJ-1 to OBJ-4.</w:t>
      </w:r>
    </w:p>
    <w:bookmarkEnd w:id="21"/>
    <w:bookmarkStart w:id="22" w:name="business-requirements"/>
    <w:p>
      <w:pPr>
        <w:pStyle w:val="Heading1"/>
      </w:pPr>
      <w:r>
        <w:t xml:space="preserve">3. Business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Priority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Reduce expense claim cycle time from submission to reimbursement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Recover input VAT only where a valid UAE tax invoice with TRN exists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Enforce approval authority by value; prevent self-approval and split claims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Provide an audit trail that cannot be altered unnoticed and meets retention requirements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Internal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Reimburse foreign-currency expenses by a defined, explainable rate rule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Controller</w:t>
            </w:r>
          </w:p>
        </w:tc>
      </w:tr>
    </w:tbl>
    <w:bookmarkEnd w:id="22"/>
    <w:bookmarkStart w:id="23" w:name="functional-requirements"/>
    <w:p>
      <w:pPr>
        <w:pStyle w:val="Heading1"/>
      </w:pPr>
      <w:r>
        <w:t xml:space="preserve">4. 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Priority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Route each expense line to approvers by AED value tiers (1,000 / 5,000 / 25,000)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Convert foreign-currency lines; hold payout if the AED value moves more than 2.0% from submission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Configure policy tiers and categories with effective 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Capture receipts and extract fields with confidence threshold 0.85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Validate 15-digit TRN; apply full vs simplified invoice rule; set VAT recoverability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Maintain daily AED rates; refuse rates older than 24 hours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Post approved reports to the ERP once, idempotently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Generate reimbursement file with control 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Record every event in a hash-chained append-only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Delegate approvals during approved leave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Retain tax documents 5 years (VAT) and 7 years (Corporate Tax) in a UAE 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FR-12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Notify approvers, remind at 24 and 48 working hours, daily digest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MAS-112</w:t>
            </w:r>
          </w:p>
        </w:tc>
      </w:tr>
    </w:tbl>
    <w:bookmarkEnd w:id="23"/>
    <w:bookmarkStart w:id="24" w:name="non-functional-requirements"/>
    <w:p>
      <w:pPr>
        <w:pStyle w:val="Heading1"/>
      </w:pPr>
      <w:r>
        <w:t xml:space="preserve">5.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Requirement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Priority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OCR extraction p95 under 6 seconds; 20-second timeout falls back to manual 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ERP approval-to-journal posting under 5 seconds p95 in normal 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All data and logs hosted in a UAE cloud region (PDPL alignment)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MAS-109, MAS-111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SSO with the corporate identity provider; role-based access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NFR-05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Mobile web and native mobile on current iOS and Android; WCAG 2.1 AA for web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MAS-104</w:t>
            </w:r>
          </w:p>
        </w:tc>
      </w:tr>
    </w:tbl>
    <w:bookmarkEnd w:id="24"/>
    <w:bookmarkStart w:id="25" w:name="business-rules"/>
    <w:p>
      <w:pPr>
        <w:pStyle w:val="Heading1"/>
      </w:pPr>
      <w:r>
        <w:t xml:space="preserve">6. Business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Approval tiers are evaluated per expense line in AED: up to 1,000.00 line manager; above 1,000.00 to 5,000.00 adds department head; above 5,000.00 to 25,000.00 adds Finance Controller; above 25,000.00 adds CFO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Same-merchant lines by one employee on one date are aggregated before tier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An employee cannot approve their own claim; the chain starts at their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 tax invoice or receipt is mandatory for lines above AED 250 (equivalent)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 simplified tax invoice is accepted up to AED 10,000; above that a full tax invoice is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Input VAT is recoverable only with a valid UAE tax invoice carrying a 15-digit TRN, and not for non-recoverable categories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Foreign supplier VAT is recorded as non-recoverable (AED 0.00)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Approval thresholds use the AED rate at submission; reimbursement uses the CBUAE rate on the payout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If payout-date AED differs from submission-date AED by more than 2.0%, the line is held for Finance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USD is converted at the fixed 3.6725 peg; no FX review applies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FX rates older than 24 hours are not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BRL-12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Tax documents retained 5 years (VAT) and 7 years (Corporate Tax); legal hold prevents deletion</w:t>
            </w:r>
          </w:p>
        </w:tc>
      </w:tr>
    </w:tbl>
    <w:bookmarkEnd w:id="25"/>
    <w:bookmarkStart w:id="26" w:name="scope-and-moscow-backlog"/>
    <w:p>
      <w:pPr>
        <w:pStyle w:val="Heading1"/>
      </w:pPr>
      <w:r>
        <w:t xml:space="preserve">7. Scope and MoSCoW backlog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Key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Epic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Story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MoSCoW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SP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Sprint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MAS-E1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Multi-tier approval for expense lines above AED 1,000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 Sprint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MAS-E3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Foreign-currency expenses with FX tolerance and tax-document enforcement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 Sprint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MAS-E1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Approval policy configuration for administrators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 Sprint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Receipt upload with OCR extraction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 Sprint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TRN validation and VAT recoverability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 Sprint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MAS-E3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FX rate service with staleness guard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 Sprint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Post approved expenses to the ERP as journals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 Sprint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Generate bank reimbursement 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 Sprint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Tamper-evident audit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 Sprint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MAS-E1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Approval delegation for leave and absence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 Sprint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Retention and e-archive of tax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 Sprint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MAS-E1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Approval notifications and reminders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 Sprint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MAS-E5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Match corporate card transactions to expense claims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Backlog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MAS-114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MAS-E6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GPS mileage tracking and Salik toll import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Won’t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Backlog</w:t>
            </w:r>
          </w:p>
        </w:tc>
      </w:tr>
    </w:tbl>
    <w:bookmarkEnd w:id="26"/>
    <w:bookmarkStart w:id="27" w:name="raci"/>
    <w:p>
      <w:pPr>
        <w:pStyle w:val="Heading1"/>
      </w:pPr>
      <w:r>
        <w:t xml:space="preserve">8. RACI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Deliverable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CFO (Sponsor)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Controller (PO)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IT Director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Eng Lead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QA Lead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BA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Procurement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Project charter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Business case and build vs buy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Scope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Requirements elicitation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BRD and SRS authoring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Policy rules (tiers, categories)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A/R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Backlog and MoSCoW prioritization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Architecture and hosting decisions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Build and 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A/R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Test strategy and acceptance tests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A/R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Change control board decisions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UAT execution and sign-off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Executive reporting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Go-live 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A/R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</w:t>
            </w:r>
          </w:p>
        </w:tc>
      </w:tr>
    </w:tbl>
    <w:bookmarkEnd w:id="27"/>
    <w:bookmarkStart w:id="28" w:name="X2f8ae631e05855dcff8ea822bb8aa419d513372"/>
    <w:p>
      <w:pPr>
        <w:pStyle w:val="Heading1"/>
      </w:pPr>
      <w:r>
        <w:t xml:space="preserve">9. Success measures (modelled for the portfolio)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Measure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Baseline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Target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Result at UAT (simulated)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Submission to reimbursement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21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10 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9 days in UAT cycle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Returned for missing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under 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4% in UAT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Authority breaches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14 of 120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0 of 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Claims with valid TRN where VAT claimed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78%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100%</w:t>
            </w:r>
          </w:p>
        </w:tc>
      </w:tr>
    </w:tbl>
    <w:bookmarkEnd w:id="28"/>
    <w:bookmarkStart w:id="29" w:name="sign-off"/>
    <w:p>
      <w:pPr>
        <w:pStyle w:val="Heading1"/>
      </w:pPr>
      <w:r>
        <w:t xml:space="preserve">10. Sign-off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Role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Name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Decision</w:t>
            </w:r>
          </w:p>
        </w:tc>
        <w:tc>
          <w:tcPr>
            <w:shd w:val="clear" w:color="auto" w:fill="1F3A5F"/>
          </w:tcPr>
          <w:p>
            <w:pPr>
              <w:pStyle w:val="Compact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Khalid Al Mansoori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Approved v1.0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2025-02-14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Finance 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Reem Bakr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Approved v1.0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2025-02-14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IT Director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Tariq Mahmood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Approved with hosting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2025-02-14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Internal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Hana Ibrahim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7"/>
              </w:rPr>
              <w:t xml:space="preserve">2025-02-14</w:t>
            </w:r>
          </w:p>
        </w:tc>
      </w:tr>
    </w:tbl>
    <w:bookmarkEnd w:id="29"/>
    <w:sectPr>
      <w:footerReference w:type="default" r:id="rId9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07070"/>
        <w:sz w:val="16"/>
      </w:rPr>
      <w:t>Simulated portfolio project - fictional client, synthetic data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 w:eastAsia="Arial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 w:eastAsia="Arial"/>
      <w:i/>
      <w:bCs/>
      <w:color w:val="1F3A5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 w:eastAsia="Arial"/>
      <w:iCs/>
      <w:color w:val="1F3A5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 w:eastAsia="Arial"/>
      <w:color w:val="1F3A5F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rPr>
      <w:rFonts w:ascii="Arial" w:hAnsi="Arial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Masroof - Business Requirements Document</dc:title>
  <dc:creator>Imran Kathat, Business Analyst</dc:creator>
  <cp:keywords/>
  <dcterms:created xsi:type="dcterms:W3CDTF">2026-10-03T10:58:58Z</dcterms:created>
  <dcterms:modified xsi:type="dcterms:W3CDTF">2026-10-03T10:58:58Z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