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Business</w:t>
      </w:r>
      <w:r>
        <w:t xml:space="preserve"> </w:t>
      </w:r>
      <w:r>
        <w:t xml:space="preserve">Case</w:t>
      </w:r>
      <w:r>
        <w:t xml:space="preserve"> </w:t>
      </w:r>
      <w:r>
        <w:t xml:space="preserve">with</w:t>
      </w:r>
      <w:r>
        <w:t xml:space="preserve"> </w:t>
      </w:r>
      <w:r>
        <w:t xml:space="preserve">Build</w:t>
      </w:r>
      <w:r>
        <w:t xml:space="preserve"> </w:t>
      </w:r>
      <w:r>
        <w:t xml:space="preserve">vs</w:t>
      </w:r>
      <w:r>
        <w:t xml:space="preserve"> </w:t>
      </w:r>
      <w:r>
        <w:t xml:space="preserve">Buy</w:t>
      </w:r>
      <w:r>
        <w:t xml:space="preserve"> </w:t>
      </w:r>
      <w:r>
        <w:t xml:space="preserve">Evaluation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oblem-and-opportunity"/>
    <w:p>
      <w:pPr>
        <w:pStyle w:val="Heading1"/>
      </w:pPr>
      <w:r>
        <w:t xml:space="preserve">1. Problem and opportunity</w:t>
      </w:r>
    </w:p>
    <w:p>
      <w:pPr>
        <w:pStyle w:val="FirstParagraph"/>
      </w:pPr>
      <w:r>
        <w:t xml:space="preserve">Claims take 21 days on average; 18% bounce for missing documents; approval limits are not enforced; VAT is claimed on invoices without TRNs; audit evidence is editable. Simulated portfolio project. Client, people and data are fictional.</w:t>
      </w:r>
    </w:p>
    <w:bookmarkEnd w:id="20"/>
    <w:bookmarkStart w:id="21" w:name="options"/>
    <w:p>
      <w:pPr>
        <w:pStyle w:val="Heading1"/>
      </w:pPr>
      <w:r>
        <w:t xml:space="preserve">2. Options</w:t>
      </w:r>
    </w:p>
    <w:p>
      <w:pPr>
        <w:numPr>
          <w:ilvl w:val="0"/>
          <w:numId w:val="1001"/>
        </w:numPr>
        <w:pStyle w:val="Compact"/>
      </w:pPr>
      <w:r>
        <w:t xml:space="preserve">Do nothing</w:t>
      </w:r>
    </w:p>
    <w:p>
      <w:pPr>
        <w:numPr>
          <w:ilvl w:val="0"/>
          <w:numId w:val="1001"/>
        </w:numPr>
        <w:pStyle w:val="Compact"/>
      </w:pPr>
      <w:r>
        <w:t xml:space="preserve">Buy: SAP Concur or Expensify</w:t>
      </w:r>
    </w:p>
    <w:p>
      <w:pPr>
        <w:numPr>
          <w:ilvl w:val="0"/>
          <w:numId w:val="1001"/>
        </w:numPr>
        <w:pStyle w:val="Compact"/>
      </w:pPr>
      <w:r>
        <w:t xml:space="preserve">Build a custom platform (core) with licensed OCR</w:t>
      </w:r>
    </w:p>
    <w:bookmarkEnd w:id="21"/>
    <w:bookmarkStart w:id="22" w:name="build-vs-buy-evaluation"/>
    <w:p>
      <w:pPr>
        <w:pStyle w:val="Heading1"/>
      </w:pPr>
      <w:r>
        <w:t xml:space="preserve">3. Build vs buy evaluation</w:t>
      </w:r>
    </w:p>
    <w:p>
      <w:pPr>
        <w:pStyle w:val="FirstParagraph"/>
      </w:pPr>
      <w:r>
        <w:t xml:space="preserve">Vendor prices must be confirmed by quotation; custom costs below are planning estimates for 250 users.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Vector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Custom build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SAP Concur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Expensify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GCC VAT / UAE Corporate Tax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Full control: 5% VAT split per line, TRN capture, full vs simplified invoice rule, non-recoverable categories, Corporate Tax disallowance 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Strong global tax engine; UAE localisation needs configuration or services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 capture good; VAT treated as a tax-code field; disallowance tracked outside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Bespoke ERP API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Direct integration; target under 5 s p95 approval-to-journal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Standard SAP connectors; other ERPs via middleware and batch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Accounting integrations or CSV/API; latency in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Per-seat recurring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 licence; delivery plus maintenance about 15-20% of build yearly; break-even above roughly 150-200 users over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Quote-based, USD per user, add-on modules; highest 3-year cost at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Published per-member pricing in USD; low entry cost, rises with workflow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Audit-log data residency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UAE cloud region; PDPL alignment; retention 5 years VAT, 7 years Corporate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Regional data centres exist; commitments and log export need contract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Primarily US/EU hosting; in-country residency not guaranteed</w:t>
            </w:r>
          </w:p>
        </w:tc>
      </w:tr>
    </w:tbl>
    <w:bookmarkEnd w:id="22"/>
    <w:bookmarkStart w:id="23" w:name="X692e0d1573414f2739cd763b68dafeebdd99783"/>
    <w:p>
      <w:pPr>
        <w:pStyle w:val="Heading1"/>
      </w:pPr>
      <w:r>
        <w:t xml:space="preserve">4. Cost comparison (3 years, 250 users, AED, planning estimate)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Custom build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Vendor (indicative)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Year 0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554,000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120,000 (implementation and configuration)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Annual run (licence or maintenance)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95,000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165,000-300,000 depending on tier and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3-year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839,000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615,000-1,020,000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Residency and ERP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Contractual / partial</w:t>
            </w:r>
          </w:p>
        </w:tc>
      </w:tr>
    </w:tbl>
    <w:bookmarkEnd w:id="23"/>
    <w:bookmarkStart w:id="24" w:name="recommendation"/>
    <w:p>
      <w:pPr>
        <w:pStyle w:val="Heading1"/>
      </w:pPr>
      <w:r>
        <w:t xml:space="preserve">5. Recommendation</w:t>
      </w:r>
    </w:p>
    <w:p>
      <w:pPr>
        <w:pStyle w:val="FirstParagraph"/>
      </w:pPr>
      <w:r>
        <w:t xml:space="preserve">Build the differentiating, compliance-heavy core (approval policy, TRN/VAT validation, FX rule, audit log, ERP posting) and license OCR as a UAE-hosted service. Revisit if headcount stays below 150 or UAE e-invoicing requirements make a vendor module cheaper.</w:t>
      </w:r>
    </w:p>
    <w:bookmarkEnd w:id="24"/>
    <w:bookmarkStart w:id="25" w:name="benefits-and-payback"/>
    <w:p>
      <w:pPr>
        <w:pStyle w:val="Heading1"/>
      </w:pPr>
      <w:r>
        <w:t xml:space="preserve">6. Benefits and payback</w:t>
      </w:r>
    </w:p>
    <w:p>
      <w:pPr>
        <w:pStyle w:val="FirstParagraph"/>
      </w:pPr>
      <w:r>
        <w:t xml:space="preserve">Benefits modelled for the portfolio: AED 210,000 a year from reduced rework and AP time (assumption set agreed with Controller), plus avoided VAT leakage. Simple payback about 30 months on the build option; sensitivity shown at 20% higher cost: 36 months.</w:t>
      </w:r>
    </w:p>
    <w:bookmarkEnd w:id="25"/>
    <w:bookmarkStart w:id="26" w:name="risks"/>
    <w:p>
      <w:pPr>
        <w:pStyle w:val="Heading1"/>
      </w:pPr>
      <w:r>
        <w:t xml:space="preserve">7. Risks</w:t>
      </w:r>
    </w:p>
    <w:p>
      <w:pPr>
        <w:pStyle w:val="FirstParagraph"/>
      </w:pPr>
      <w:r>
        <w:t xml:space="preserve">OCR accuracy on mixed Arabic/English receipts; ERP limits; adoption. See RAID log.</w:t>
      </w:r>
    </w:p>
    <w:bookmarkEnd w:id="26"/>
    <w:bookmarkStart w:id="27" w:name="decision"/>
    <w:p>
      <w:pPr>
        <w:pStyle w:val="Heading1"/>
      </w:pPr>
      <w:r>
        <w:t xml:space="preserve">8. Decision</w:t>
      </w:r>
    </w:p>
    <w:p>
      <w:pPr>
        <w:pStyle w:val="FirstParagraph"/>
      </w:pPr>
      <w:r>
        <w:t xml:space="preserve">CFO approved the build option on 7 Feb 2025.</w:t>
      </w:r>
    </w:p>
    <w:bookmarkEnd w:id="27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Business Case with Build vs Buy Evaluation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