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Masroof</w:t>
      </w:r>
      <w:r>
        <w:t xml:space="preserve"> </w:t>
      </w:r>
      <w:r>
        <w:t xml:space="preserve">-</w:t>
      </w:r>
      <w:r>
        <w:t xml:space="preserve"> </w:t>
      </w:r>
      <w:r>
        <w:t xml:space="preserve">Project</w:t>
      </w:r>
      <w:r>
        <w:t xml:space="preserve"> </w:t>
      </w:r>
      <w:r>
        <w:t xml:space="preserve">Charter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project-charter"/>
    <w:p>
      <w:pPr>
        <w:pStyle w:val="Heading1"/>
      </w:pPr>
      <w:r>
        <w:t xml:space="preserve">Project charter</w:t>
      </w:r>
    </w:p>
    <w:p>
      <w:pPr>
        <w:pStyle w:val="FirstParagraph"/>
      </w:pPr>
      <w:r>
        <w:t xml:space="preserve">Simulated portfolio project. Client, people and data are fictional.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Item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Masroof - Expense Management and Operational Tracking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Khalid Al Mansoori, 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Bakr, Finance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 Feb 2025 to 30 May 2025 (go-live 26 May)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AED 554,000</w:t>
            </w:r>
          </w:p>
        </w:tc>
      </w:tr>
    </w:tbl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Replace spreadsheet and email expense claims with a policy-enforced, VAT-aware, auditable platform integrated with the ERP.</w:t>
      </w:r>
    </w:p>
    <w:bookmarkEnd w:id="20"/>
    <w:bookmarkStart w:id="21" w:name="objectives-and-success-measures"/>
    <w:p>
      <w:pPr>
        <w:pStyle w:val="Heading2"/>
      </w:pPr>
      <w:r>
        <w:t xml:space="preserve">Objectives and success measures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Objective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Measure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Faster reimbursement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Submission to reimbursement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21 to 10 calendar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Fewer claims returned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Claims returned for missing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18% to under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Enforce approval 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Authority breaches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Audit and tax 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Claims with valid TRN and retained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100%</w:t>
            </w:r>
          </w:p>
        </w:tc>
      </w:tr>
    </w:tbl>
    <w:bookmarkEnd w:id="21"/>
    <w:bookmarkStart w:id="22" w:name="high-level-scope"/>
    <w:p>
      <w:pPr>
        <w:pStyle w:val="Heading2"/>
      </w:pPr>
      <w:r>
        <w:t xml:space="preserve">High-level scope</w:t>
      </w:r>
    </w:p>
    <w:p>
      <w:pPr>
        <w:pStyle w:val="FirstParagraph"/>
      </w:pPr>
      <w:r>
        <w:t xml:space="preserve">In: claim capture, OCR, approvals, VAT validation, multi-currency, ERP posting, reimbursement file, audit log. Out: per-diem rules, mileage/GPS, card feed (release 2).</w:t>
      </w:r>
    </w:p>
    <w:bookmarkEnd w:id="22"/>
    <w:bookmarkStart w:id="23" w:name="milestones"/>
    <w:p>
      <w:pPr>
        <w:pStyle w:val="Heading2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Milestone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Charter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BRD baselined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Sprint 1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Build complete (Sprint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2025-05-05 to 2025-05-16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Go-live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2025-05-30</w:t>
            </w:r>
          </w:p>
        </w:tc>
      </w:tr>
    </w:tbl>
    <w:bookmarkEnd w:id="23"/>
    <w:bookmarkStart w:id="24" w:name="stakeholders"/>
    <w:p>
      <w:pPr>
        <w:pStyle w:val="Heading2"/>
      </w:pPr>
      <w:r>
        <w:t xml:space="preserve">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Name (fictional)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Role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Project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Khalid Al Mansoori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Chief Financial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Executive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Bakr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Vikram Shetty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Head of Procurement and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 owner of expense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Aisha Farooq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HR Business 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Org hierarchy and leave data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Tariq Mahmood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IT Director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Security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Joanna D’Souza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Senior Accountant (AP)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ERP posting and reimbursement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Mohammed Zaid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Head of Sales (field team)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Frequent claimants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Hana Ibrahim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Audit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Sergey Petrov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Engineering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Delivery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Noor Siddiqui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Test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Requirements, scope, governance</w:t>
            </w:r>
          </w:p>
        </w:tc>
      </w:tr>
    </w:tbl>
    <w:bookmarkEnd w:id="24"/>
    <w:bookmarkStart w:id="25" w:name="assumptions-constraints-risks"/>
    <w:p>
      <w:pPr>
        <w:pStyle w:val="Heading2"/>
      </w:pPr>
      <w:r>
        <w:t xml:space="preserve">Assumptions, constraints, risks</w:t>
      </w:r>
    </w:p>
    <w:p>
      <w:pPr>
        <w:pStyle w:val="FirstParagraph"/>
      </w:pPr>
      <w:r>
        <w:t xml:space="preserve">Assumptions: HR data daily; UAE-region cloud ready by 17 Feb. Constraints: Ramadan hours from 1 Mar; Eid pause; data in UAE. Top risks: OCR latency, ERP rate limits, audit-log tampering, adoption (see RAID log).</w:t>
      </w:r>
    </w:p>
    <w:bookmarkEnd w:id="25"/>
    <w:bookmarkStart w:id="26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Sprint review fortnightly; change control board (CFO, Controller, BA, Eng Lead) meets weekly; status report fortnightly to CFO.</w:t>
      </w:r>
    </w:p>
    <w:bookmarkEnd w:id="26"/>
    <w:bookmarkStart w:id="27" w:name="approval"/>
    <w:p>
      <w:pPr>
        <w:pStyle w:val="Heading2"/>
      </w:pPr>
      <w:r>
        <w:t xml:space="preserve">Approval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Role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Khalid Al Mansoori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Bakr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2025-02-07</w:t>
            </w:r>
          </w:p>
        </w:tc>
      </w:tr>
    </w:tbl>
    <w:bookmarkEnd w:id="27"/>
    <w:bookmarkEnd w:id="28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Masroof - Project Charter</dc:title>
  <dc:creator>Imran Kathat, Business Analyst</dc:creator>
  <cp:keywords/>
  <dcterms:created xsi:type="dcterms:W3CDTF">2026-10-03T10:58:58Z</dcterms:created>
  <dcterms:modified xsi:type="dcterms:W3CDTF">2026-10-03T10:58:58Z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