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Masroof</w:t>
      </w:r>
      <w:r>
        <w:t xml:space="preserve"> </w:t>
      </w:r>
      <w:r>
        <w:t xml:space="preserve">-</w:t>
      </w:r>
      <w:r>
        <w:t xml:space="preserve"> </w:t>
      </w:r>
      <w:r>
        <w:t xml:space="preserve">Requirements</w:t>
      </w:r>
      <w:r>
        <w:t xml:space="preserve"> </w:t>
      </w:r>
      <w:r>
        <w:t xml:space="preserve">Gathering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Cs/>
          <w:i/>
        </w:rPr>
        <w:t xml:space="preserve">Expense Management and Operational Tracking Platform</w:t>
      </w:r>
    </w:p>
    <w:bookmarkStart w:id="20" w:name="context"/>
    <w:p>
      <w:pPr>
        <w:pStyle w:val="Heading1"/>
      </w:pPr>
      <w:r>
        <w:t xml:space="preserve">1. Context</w:t>
      </w:r>
    </w:p>
    <w:p>
      <w:pPr>
        <w:pStyle w:val="FirstParagraph"/>
      </w:pPr>
      <w:r>
        <w:t xml:space="preserve">Masroof replaces spreadsheet-and-email expense claims at a fictional trading and logistics group (about 250 employees in Dubai, Abu Dhabi and Riyadh). Simulated portfolio project. Client, people and data are fictional. Discovery ran 3 to 14 February 2025.</w:t>
      </w:r>
    </w:p>
    <w:bookmarkEnd w:id="20"/>
    <w:bookmarkStart w:id="21" w:name="elicitation-plan"/>
    <w:p>
      <w:pPr>
        <w:pStyle w:val="Heading1"/>
      </w:pPr>
      <w:r>
        <w:t xml:space="preserve">2. Elicitation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Technique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Participants / source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Interviews (8 x 45 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CFO, Controller, Procurement, HR, IT, AP accountant, field sales head, Internal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Pain points, policy rules,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Survey (n=62 claimants)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Sales, operations and admin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Claim frequency, device use, top frustrations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Document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Expense policy PDF, 3 months of claim spreadsheets, 40 sampled receipts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Thresholds, categories, VAT problems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 accountant reimbursement run; two managers approving by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Timed As-Is, rework causes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Workshop (3 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Controller, AP, Internal Audit, IT, 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Policy tiers, tax-document rules, audit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Competitive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SAP Concur and Expensify trials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Build vs buy criteria</w:t>
            </w:r>
          </w:p>
        </w:tc>
      </w:tr>
    </w:tbl>
    <w:bookmarkEnd w:id="21"/>
    <w:bookmarkStart w:id="22" w:name="findings"/>
    <w:p>
      <w:pPr>
        <w:pStyle w:val="Heading1"/>
      </w:pPr>
      <w:r>
        <w:t xml:space="preserve">3. Findings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Source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Finding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71% of claimants submit on paper or photo; 44% have lost a receipt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FR-04, NFR-05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Policy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Approval limits in policy are unenforced; one manager approves everything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FR-01, FR-03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Receipt sample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9 of 40 sampled receipts had no supplier TRN; VAT was still claimed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FR-05, BR-02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 observation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Foreign-currency claims converted at whichever rate the accountant opens that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FR-02, FR-06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Internal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Spreadsheet history can be edited; no timestamps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FR-09, BR-04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IT interview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Data and logs must stay in a UAE cloud 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NFR-03</w:t>
            </w:r>
          </w:p>
        </w:tc>
      </w:tr>
    </w:tbl>
    <w:bookmarkEnd w:id="22"/>
    <w:bookmarkStart w:id="23" w:name="baseline-simulated"/>
    <w:p>
      <w:pPr>
        <w:pStyle w:val="Heading1"/>
      </w:pPr>
      <w:r>
        <w:t xml:space="preserve">4. Baseline (simulated)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Measure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Submission to reimbursement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21 calendar days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Claims returned for missing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Approval authority breaches in sample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14 of 120 claims</w:t>
            </w:r>
          </w:p>
        </w:tc>
      </w:tr>
    </w:tbl>
    <w:bookmarkEnd w:id="23"/>
    <w:bookmarkStart w:id="24" w:name="requirements-and-traceability"/>
    <w:p>
      <w:pPr>
        <w:pStyle w:val="Heading1"/>
      </w:pPr>
      <w:r>
        <w:t xml:space="preserve">5. Requirements and traceability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Type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Priority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Source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Epic / 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Reduce expense claim cycle time from submission to reimbursement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MAS-E1, MAS-E4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Recover input VAT only where a valid UAE tax invoice with TRN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Enforce approval authority by value; prevent self-approval and split claims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Provide an audit trail that cannot be altered unnoticed and meets retention 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Internal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Reimburse foreign-currency expenses by a defined, explainable rate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Route each expense line to approvers by AED value tiers (1,000 / 5,000 / 25,000)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Convert foreign-currency lines; hold payout if the AED value moves more than 2.0% from submission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Configure policy tiers and categories with effective 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Capture receipts and extract fields with confidence threshold 0.85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Validate 15-digit TRN; apply full vs simplified invoice rule; set VAT recoverability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Analyst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Maintain daily AED rates; refuse rates older than 24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Analyst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Post approved reports to the ERP once, idempotently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Accounts Payable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Generate reimbursement file with control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Accounts Payable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Record every event in a hash-chained append-only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Internal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Delegate approvals during approved leave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Line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Retain tax documents 5 years (VAT) and 7 years (Corporate Tax) in a UAE 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Internal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Notify approvers, remind at 24 and 48 working hours, daily digest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Line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OCR extraction p95 under 6 seconds; 20-second timeout falls back to manual 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ERP approval-to-journal posting under 5 seconds p95 in normal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Accounts Payable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All data and logs hosted in a UAE cloud region (PDPL alignment)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IT Director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MAS-109, MAS-111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SSO with the corporate identity provider; role-based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IT Director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Mobile web and native mobile on current iOS and Android; WCAG 2.1 AA for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MAS-104</w:t>
            </w:r>
          </w:p>
        </w:tc>
      </w:tr>
    </w:tbl>
    <w:bookmarkEnd w:id="24"/>
    <w:bookmarkStart w:id="25" w:name="assumptions-and-open-items"/>
    <w:p>
      <w:pPr>
        <w:pStyle w:val="Heading1"/>
      </w:pPr>
      <w:r>
        <w:t xml:space="preserve">6. Assumptions and open items</w:t>
      </w:r>
    </w:p>
    <w:p>
      <w:pPr>
        <w:numPr>
          <w:ilvl w:val="0"/>
          <w:numId w:val="1001"/>
        </w:numPr>
        <w:pStyle w:val="Compact"/>
      </w:pPr>
      <w:r>
        <w:t xml:space="preserve">HR provides hierarchy and leave data daily (validated 11 Feb).</w:t>
      </w:r>
    </w:p>
    <w:p>
      <w:pPr>
        <w:numPr>
          <w:ilvl w:val="0"/>
          <w:numId w:val="1001"/>
        </w:numPr>
        <w:pStyle w:val="Compact"/>
      </w:pPr>
      <w:r>
        <w:t xml:space="preserve">Corporate Tax and VAT retention periods: 7 and 5 years (confirmed by Controller’s tax adviser).</w:t>
      </w:r>
    </w:p>
    <w:p>
      <w:pPr>
        <w:numPr>
          <w:ilvl w:val="0"/>
          <w:numId w:val="1001"/>
        </w:numPr>
        <w:pStyle w:val="Compact"/>
      </w:pPr>
      <w:r>
        <w:t xml:space="preserve">Per-diem allowances requested late in discovery; handled through change control (CR-002).</w:t>
      </w:r>
    </w:p>
    <w:bookmarkEnd w:id="25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Masroof - Requirements Gathering Report</dc:title>
  <dc:creator>Imran Kathat, Business Analyst</dc:creator>
  <cp:keywords/>
  <dcterms:created xsi:type="dcterms:W3CDTF">2026-10-03T10:58:58Z</dcterms:created>
  <dcterms:modified xsi:type="dcterms:W3CDTF">2026-10-03T10:58:58Z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