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Masroof</w:t>
      </w:r>
      <w:r>
        <w:t xml:space="preserve"> </w:t>
      </w:r>
      <w:r>
        <w:t xml:space="preserve">-</w:t>
      </w:r>
      <w:r>
        <w:t xml:space="preserve"> </w:t>
      </w:r>
      <w:r>
        <w:t xml:space="preserve">Software</w:t>
      </w:r>
      <w:r>
        <w:t xml:space="preserve"> </w:t>
      </w:r>
      <w:r>
        <w:t xml:space="preserve">Requirements</w:t>
      </w:r>
      <w:r>
        <w:t xml:space="preserve"> </w:t>
      </w:r>
      <w:r>
        <w:t xml:space="preserve">Specification</w:t>
      </w:r>
    </w:p>
    <w:p>
      <w:pPr>
        <w:pStyle w:val="Author"/>
      </w:pPr>
      <w:r>
        <w:t xml:space="preserve">Imran</w:t>
      </w:r>
      <w:r>
        <w:t xml:space="preserve"> </w:t>
      </w:r>
      <w:r>
        <w:t xml:space="preserve">Kathat,</w:t>
      </w:r>
      <w:r>
        <w:t xml:space="preserve"> </w:t>
      </w:r>
      <w:r>
        <w:t xml:space="preserve">Business</w:t>
      </w:r>
      <w:r>
        <w:t xml:space="preserve"> </w:t>
      </w:r>
      <w:r>
        <w:t xml:space="preserve">Analyst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Software Requirements Specification for Masroof release 1.0, derived from BRD v1.2. Simulated portfolio project. Client, people and data are fictional.</w:t>
      </w:r>
    </w:p>
    <w:bookmarkEnd w:id="20"/>
    <w:bookmarkStart w:id="21" w:name="system-overview"/>
    <w:p>
      <w:pPr>
        <w:pStyle w:val="Heading1"/>
      </w:pPr>
      <w:r>
        <w:t xml:space="preserve">2. System overview</w:t>
      </w:r>
    </w:p>
    <w:p>
      <w:pPr>
        <w:pStyle w:val="FirstParagraph"/>
      </w:pPr>
      <w:r>
        <w:t xml:space="preserve">Components: mobile and web clients; claim, approval/policy, tax/VAT, FX, notification and audit services; PostgreSQL and object storage in a UAE cloud region; integrations with OCR, ERP, HR, FX feed and bank file. See</w:t>
      </w:r>
      <w:r>
        <w:t xml:space="preserve"> </w:t>
      </w:r>
      <w:r>
        <w:rPr>
          <w:rStyle w:val="VerbatimChar"/>
        </w:rPr>
        <w:t xml:space="preserve">Masroof_Architecture_Diagram</w:t>
      </w:r>
      <w:r>
        <w:t xml:space="preserve">.</w:t>
      </w:r>
    </w:p>
    <w:bookmarkEnd w:id="21"/>
    <w:bookmarkStart w:id="22" w:name="user-classes"/>
    <w:p>
      <w:pPr>
        <w:pStyle w:val="Heading1"/>
      </w:pPr>
      <w:r>
        <w:t xml:space="preserve">3. User classes</w:t>
      </w:r>
    </w:p>
    <w:p>
      <w:pPr>
        <w:pStyle w:val="FirstParagraph"/>
      </w:pPr>
      <w:r>
        <w:t xml:space="preserve">Employee, Line Manager, Department Head, Finance Controller, Finance Analyst, Accounts Payable, Internal Auditor, Administrator (see personas document).</w:t>
      </w:r>
    </w:p>
    <w:bookmarkEnd w:id="22"/>
    <w:bookmarkStart w:id="30" w:name="functional-specifications"/>
    <w:p>
      <w:pPr>
        <w:pStyle w:val="Heading1"/>
      </w:pPr>
      <w:r>
        <w:t xml:space="preserve">4. Functional specifications</w:t>
      </w:r>
    </w:p>
    <w:bookmarkStart w:id="23" w:name="X594a2584c1f42d72b86107d788e3641d0f6b872"/>
    <w:p>
      <w:pPr>
        <w:pStyle w:val="Heading2"/>
      </w:pPr>
      <w:r>
        <w:t xml:space="preserve">4.1 Approval workflow (FR-01, FR-03, FR-10, FR-12)</w:t>
      </w:r>
    </w:p>
    <w:p>
      <w:pPr>
        <w:numPr>
          <w:ilvl w:val="0"/>
          <w:numId w:val="1001"/>
        </w:numPr>
        <w:pStyle w:val="Compact"/>
      </w:pPr>
      <w:r>
        <w:t xml:space="preserve">On submission the policy service builds an approval chain per line using BRL-01 to BRL-03.</w:t>
      </w:r>
    </w:p>
    <w:p>
      <w:pPr>
        <w:numPr>
          <w:ilvl w:val="0"/>
          <w:numId w:val="1001"/>
        </w:numPr>
        <w:pStyle w:val="Compact"/>
      </w:pPr>
      <w:r>
        <w:t xml:space="preserve">Tasks are created sequentially; a task becomes visible only when the previous approver approved.</w:t>
      </w:r>
    </w:p>
    <w:p>
      <w:pPr>
        <w:numPr>
          <w:ilvl w:val="0"/>
          <w:numId w:val="1001"/>
        </w:numPr>
        <w:pStyle w:val="Compact"/>
      </w:pPr>
      <w:r>
        <w:t xml:space="preserve">Rejection requires a comment; the line returns to the employee.</w:t>
      </w:r>
    </w:p>
    <w:p>
      <w:pPr>
        <w:numPr>
          <w:ilvl w:val="0"/>
          <w:numId w:val="1001"/>
        </w:numPr>
        <w:pStyle w:val="Compact"/>
      </w:pPr>
      <w:r>
        <w:t xml:space="preserve">Delegation: when the approver has approved leave in HR data, the task is assigned to the delegate; if the delegate is the requester the task escalates one level.</w:t>
      </w:r>
    </w:p>
    <w:p>
      <w:pPr>
        <w:numPr>
          <w:ilvl w:val="0"/>
          <w:numId w:val="1001"/>
        </w:numPr>
        <w:pStyle w:val="Compact"/>
      </w:pPr>
      <w:r>
        <w:t xml:space="preserve">Reminders at 24 and 48 working hours; daily digest at 08:30 GST on working days.</w:t>
      </w:r>
    </w:p>
    <w:bookmarkEnd w:id="23"/>
    <w:bookmarkStart w:id="24" w:name="receipt-capture-and-ocr-fr-04-nfr-01"/>
    <w:p>
      <w:pPr>
        <w:pStyle w:val="Heading2"/>
      </w:pPr>
      <w:r>
        <w:t xml:space="preserve">4.2 Receipt capture and OCR (FR-04, NFR-01)</w:t>
      </w:r>
    </w:p>
    <w:p>
      <w:pPr>
        <w:pStyle w:val="FirstParagraph"/>
      </w:pPr>
      <w:r>
        <w:t xml:space="preserve">Upload accepts JPEG, PNG, HEIC and PDF up to 10 MB. Client resizes to a maximum 2,000 px. OCR runs asynchronously; fields below confidence 0.85 are marked for manual confirmation; timeout at 20 seconds opens manual entry.</w:t>
      </w:r>
    </w:p>
    <w:bookmarkEnd w:id="24"/>
    <w:bookmarkStart w:id="25" w:name="tax-validation-fr-05"/>
    <w:p>
      <w:pPr>
        <w:pStyle w:val="Heading2"/>
      </w:pPr>
      <w:r>
        <w:t xml:space="preserve">4.3 Tax validation (FR-05)</w:t>
      </w:r>
    </w:p>
    <w:p>
      <w:pPr>
        <w:pStyle w:val="FirstParagraph"/>
      </w:pPr>
      <w:r>
        <w:t xml:space="preserve">TRN must match 15 digits. Rules BRL-04 to BRL-07 set</w:t>
      </w:r>
      <w:r>
        <w:t xml:space="preserve"> </w:t>
      </w:r>
      <w:r>
        <w:rPr>
          <w:rStyle w:val="VerbatimChar"/>
        </w:rPr>
        <w:t xml:space="preserve">input_vat_recoverable</w:t>
      </w:r>
      <w:r>
        <w:t xml:space="preserve"> </w:t>
      </w:r>
      <w:r>
        <w:t xml:space="preserve">and tags such as NON_RECOVERABLE_VAT_NO_TRN and FULL_TAX_INVOICE_REQUIRED.</w:t>
      </w:r>
    </w:p>
    <w:bookmarkEnd w:id="25"/>
    <w:bookmarkStart w:id="26" w:name="multi-currency-fr-02-fr-06"/>
    <w:p>
      <w:pPr>
        <w:pStyle w:val="Heading2"/>
      </w:pPr>
      <w:r>
        <w:t xml:space="preserve">4.4 Multi-currency (FR-02, FR-06)</w:t>
      </w:r>
    </w:p>
    <w:p>
      <w:pPr>
        <w:pStyle w:val="FirstParagraph"/>
      </w:pPr>
      <w:r>
        <w:t xml:space="preserve">Store</w:t>
      </w:r>
      <w:r>
        <w:t xml:space="preserve"> </w:t>
      </w:r>
      <w:r>
        <w:rPr>
          <w:rStyle w:val="VerbatimChar"/>
        </w:rPr>
        <w:t xml:space="preserve">submission_rate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submission_aed</w:t>
      </w:r>
      <w:r>
        <w:t xml:space="preserve">,</w:t>
      </w:r>
      <w:r>
        <w:t xml:space="preserve"> </w:t>
      </w:r>
      <w:r>
        <w:rPr>
          <w:rStyle w:val="VerbatimChar"/>
        </w:rPr>
        <w:t xml:space="preserve">payout_rate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payout_aed</w:t>
      </w:r>
      <w:r>
        <w:t xml:space="preserve">,</w:t>
      </w:r>
      <w:r>
        <w:t xml:space="preserve"> </w:t>
      </w:r>
      <w:r>
        <w:rPr>
          <w:rStyle w:val="VerbatimChar"/>
        </w:rPr>
        <w:t xml:space="preserve">fx_variance_pct</w:t>
      </w:r>
      <w:r>
        <w:t xml:space="preserve">. Variance above 2.0% sets status HELD_FX_REVIEW. USD uses the peg. Stale rate (over 24 hours) holds foreign-currency lines.</w:t>
      </w:r>
    </w:p>
    <w:bookmarkEnd w:id="26"/>
    <w:bookmarkStart w:id="27" w:name="X0fcd841cc69be7b992792fac047073a5ac82d88"/>
    <w:p>
      <w:pPr>
        <w:pStyle w:val="Heading2"/>
      </w:pPr>
      <w:r>
        <w:t xml:space="preserve">4.5 ERP posting and reimbursement (FR-07, FR-08)</w:t>
      </w:r>
    </w:p>
    <w:p>
      <w:pPr>
        <w:pStyle w:val="FirstParagraph"/>
      </w:pPr>
      <w:r>
        <w:t xml:space="preserve">Posting service writes one journal per approved report with idempotency key = report id; chunks of 50, token bucket at 70% of vendor limit, exponential backoff with jitter on 429/503. Payment file lists approved, released lines with IBAN validated (UAE IBAN length 23) and a control total.</w:t>
      </w:r>
    </w:p>
    <w:bookmarkEnd w:id="27"/>
    <w:bookmarkStart w:id="28" w:name="audit-log-fr-09"/>
    <w:p>
      <w:pPr>
        <w:pStyle w:val="Heading2"/>
      </w:pPr>
      <w:r>
        <w:t xml:space="preserve">4.6 Audit log (FR-09)</w:t>
      </w:r>
    </w:p>
    <w:p>
      <w:pPr>
        <w:pStyle w:val="FirstParagraph"/>
      </w:pPr>
      <w:r>
        <w:rPr>
          <w:rStyle w:val="VerbatimChar"/>
        </w:rPr>
        <w:t xml:space="preserve">audit_event(id, seq, event_type, payload_json, actor_id, ts_utc, prev_hash, record_hash)</w:t>
      </w:r>
      <w:r>
        <w:t xml:space="preserve">;</w:t>
      </w:r>
      <w:r>
        <w:t xml:space="preserve"> </w:t>
      </w:r>
      <w:r>
        <w:rPr>
          <w:rStyle w:val="VerbatimChar"/>
        </w:rPr>
        <w:t xml:space="preserve">record_hash = SHA-256(prev_hash || payload || ts_utc)</w:t>
      </w:r>
      <w:r>
        <w:t xml:space="preserve">. Application role has INSERT only. Nightly job verifies the chain; daily chain head exported to object storage with a 7-year object lock.</w:t>
      </w:r>
    </w:p>
    <w:bookmarkEnd w:id="28"/>
    <w:bookmarkStart w:id="29" w:name="retention-fr-11"/>
    <w:p>
      <w:pPr>
        <w:pStyle w:val="Heading2"/>
      </w:pPr>
      <w:r>
        <w:t xml:space="preserve">4.7 Retention (FR-11)</w:t>
      </w:r>
    </w:p>
    <w:p>
      <w:pPr>
        <w:pStyle w:val="FirstParagraph"/>
      </w:pPr>
      <w:r>
        <w:t xml:space="preserve">Documents stored in UAE-region object storage; delete blocked until retention end or while a legal hold exists.</w:t>
      </w:r>
    </w:p>
    <w:bookmarkEnd w:id="29"/>
    <w:bookmarkEnd w:id="30"/>
    <w:bookmarkStart w:id="31" w:name="data-model-core-entities"/>
    <w:p>
      <w:pPr>
        <w:pStyle w:val="Heading1"/>
      </w:pPr>
      <w:r>
        <w:t xml:space="preserve">5. Data model (core entities)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Entity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Key attributes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employee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employee_id PK, manager_id FK, department, office, iban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expense_report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report_id PK, employee_id FK, status, submitted_at_utc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expense_line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line_id PK, report_id FK, category_id FK, merchant, txn_date, amount, currency, submission_rate, submission_aed, payout_aed, fx_variance_pct, vat_amount, input_vat_recoverable,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attachment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attachment_id PK, line_id FK, object_key, ocr_confidence, trn, retention_until, legal_hold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approval_task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task_id PK, line_id FK, tier, approver_id FK, status, due_at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policy_version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policy_id PK, effective_from, tiers_json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fx_rate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currency, rate_date, rate, fetched_at_utc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audit_event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id PK, seq UQ, event_type, actor_id, ts_utc, prev_hash, record_hash</w:t>
            </w:r>
          </w:p>
        </w:tc>
      </w:tr>
    </w:tbl>
    <w:bookmarkEnd w:id="31"/>
    <w:bookmarkStart w:id="32" w:name="interfaces"/>
    <w:p>
      <w:pPr>
        <w:pStyle w:val="Heading1"/>
      </w:pPr>
      <w:r>
        <w:t xml:space="preserve">6. Interfaces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Interface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Direction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Protocol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OCR 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REST async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UAE region, timeout 20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ERP journals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Idempotency key, 429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HR hierarchy and leave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Daily CSV or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Validation report on import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CBUAE FX rates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File or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Cache 6 h, stale limit 24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Bank payment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SFTP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Fixed-width format after CR-005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OIDC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Corporate IdP</w:t>
            </w:r>
          </w:p>
        </w:tc>
      </w:tr>
    </w:tbl>
    <w:bookmarkEnd w:id="32"/>
    <w:bookmarkStart w:id="33" w:name="non-functional-specifications"/>
    <w:p>
      <w:pPr>
        <w:pStyle w:val="Heading1"/>
      </w:pPr>
      <w:r>
        <w:t xml:space="preserve">7. Non-functional specifications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ID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NFR-01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OCR extraction p95 under 6 seconds; 20-second timeout falls back to manual 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NFR-02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ERP approval-to-journal posting under 5 seconds p95 in normal 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NFR-03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All data and logs hosted in a UAE cloud region (PDPL alignment)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NFR-04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SSO with the corporate identity provider; role-based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NFR-05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Mobile web and native mobile on current iOS and Android; WCAG 2.1 AA for web</w:t>
            </w:r>
          </w:p>
        </w:tc>
      </w:tr>
    </w:tbl>
    <w:bookmarkEnd w:id="33"/>
    <w:bookmarkStart w:id="34" w:name="error-handling"/>
    <w:p>
      <w:pPr>
        <w:pStyle w:val="Heading1"/>
      </w:pPr>
      <w:r>
        <w:t xml:space="preserve">8. Error handling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Condition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OCR timeout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Manual entry mode; claim not 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ERP 429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Back off, resume from last committed chunk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Stale FX 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Hold foreign lines, alert 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Unmapped 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Hold journal ACCOUNT_UNMAPPED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Locked ERP period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Hold with PERIOD_LOCKED, notify 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Hash chain break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P1 alert, freeze payouts until reviewed</w:t>
            </w:r>
          </w:p>
        </w:tc>
      </w:tr>
    </w:tbl>
    <w:bookmarkEnd w:id="34"/>
    <w:sectPr>
      <w:footerReference w:type="default" r:id="rId9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07070"/>
        <w:sz w:val="16"/>
      </w:rPr>
      <w:t>Simulated portfolio project - fictional client, synthetic data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Arial" w:hAnsi="Arial" w:eastAsia="Arial"/>
      <w:i/>
      <w:bCs/>
      <w:color w:val="1F3A5F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Arial" w:hAnsi="Arial" w:eastAsia="Arial"/>
      <w:iCs/>
      <w:color w:val="1F3A5F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hAnsi="Arial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hAnsi="Arial"/>
      <w:b/>
    </w:rPr>
  </w:style>
  <w:style w:customStyle="1" w:styleId="Definition" w:type="paragraph">
    <w:name w:val="Definition"/>
    <w:basedOn w:val="Normal"/>
    <w:rPr>
      <w:rFonts w:ascii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hAnsi="Arial"/>
    </w:rPr>
  </w:style>
  <w:style w:customStyle="1" w:styleId="ImageCaption" w:type="paragraph">
    <w:name w:val="Image Caption"/>
    <w:basedOn w:val="Caption"/>
    <w:rPr>
      <w:rFonts w:ascii="Arial" w:hAnsi="Arial"/>
    </w:rPr>
  </w:style>
  <w:style w:customStyle="1" w:styleId="Figure" w:type="paragraph">
    <w:name w:val="Figure"/>
    <w:basedOn w:val="Normal"/>
    <w:rPr>
      <w:rFonts w:ascii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hAnsi="Arial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sz w:val="16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Masroof - Software Requirements Specification</dc:title>
  <dc:creator>Imran Kathat, Business Analyst</dc:creator>
  <cp:keywords/>
  <dcterms:created xsi:type="dcterms:W3CDTF">2026-10-03T10:58:58Z</dcterms:created>
  <dcterms:modified xsi:type="dcterms:W3CDTF">2026-10-03T10:58:58Z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