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Mirsad</w:t>
      </w:r>
      <w:r>
        <w:t xml:space="preserve"> </w:t>
      </w:r>
      <w:r>
        <w:t xml:space="preserve">-</w:t>
      </w:r>
      <w:r>
        <w:t xml:space="preserve"> </w:t>
      </w:r>
      <w:r>
        <w:t xml:space="preserve">Business</w:t>
      </w:r>
      <w:r>
        <w:t xml:space="preserve"> </w:t>
      </w:r>
      <w:r>
        <w:t xml:space="preserve">Requirements</w:t>
      </w:r>
      <w:r>
        <w:t xml:space="preserve"> </w:t>
      </w:r>
      <w:r>
        <w:t xml:space="preserve">Document</w:t>
      </w:r>
    </w:p>
    <w:p>
      <w:pPr>
        <w:pStyle w:val="Author"/>
      </w:pPr>
      <w:r>
        <w:t xml:space="preserve">Imran</w:t>
      </w:r>
      <w:r>
        <w:t xml:space="preserve"> </w:t>
      </w:r>
      <w:r>
        <w:t xml:space="preserve">Kathat,</w:t>
      </w:r>
      <w:r>
        <w:t xml:space="preserve"> </w:t>
      </w:r>
      <w:r>
        <w:t xml:space="preserve">Business</w:t>
      </w:r>
      <w:r>
        <w:t xml:space="preserve"> </w:t>
      </w:r>
      <w:r>
        <w:t xml:space="preserve">Analyst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document-control"/>
    <w:p>
      <w:pPr>
        <w:pStyle w:val="Heading1"/>
      </w:pPr>
      <w:r>
        <w:t xml:space="preserve">1. Document control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Version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Date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Author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2025-06-13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Imran Kathat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Draft after discovery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2025-06-18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Imran Kathat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Signed 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2025-07-24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Imran Kathat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CR-001, CR-003</w:t>
            </w:r>
          </w:p>
        </w:tc>
      </w:tr>
    </w:tbl>
    <w:p>
      <w:pPr>
        <w:pStyle w:val="BodyText"/>
      </w:pPr>
      <w:r>
        <w:t xml:space="preserve">Simulated portfolio project. Client, people and data are fictional.</w:t>
      </w:r>
    </w:p>
    <w:bookmarkEnd w:id="20"/>
    <w:bookmarkStart w:id="21" w:name="objectives"/>
    <w:p>
      <w:pPr>
        <w:pStyle w:val="Heading1"/>
      </w:pPr>
      <w:r>
        <w:t xml:space="preserve">2. Objectives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ID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Objective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Measure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OBJ-1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One definition per KPI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KPIs with signed definition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6 of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OBJ-2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Remove manual preparation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Weekly preparation 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10 h to 6 h (40% reduction)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OBJ-3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Trusted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Rows with unusable dates or ids reaching the 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0 (quarantined with reasons)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OBJ-4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Decision-ready 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Leaders using the dashboard weekly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All 5 leaders</w:t>
            </w:r>
          </w:p>
        </w:tc>
      </w:tr>
    </w:tbl>
    <w:bookmarkEnd w:id="21"/>
    <w:bookmarkStart w:id="22" w:name="scope"/>
    <w:p>
      <w:pPr>
        <w:pStyle w:val="Heading1"/>
      </w:pPr>
      <w:r>
        <w:t xml:space="preserve">3. Scope</w:t>
      </w:r>
    </w:p>
    <w:p>
      <w:pPr>
        <w:pStyle w:val="FirstParagraph"/>
      </w:pPr>
      <w:r>
        <w:t xml:space="preserve">In scope: cleaning pipeline, star schema, KPI measures (clearance velocity, daily resolution rate, margin variance vs budget, utilization), Power BI executive dashboard, Excel utilization workbook, row-level security, refresh. Out of scope: predictive models, source-system changes, customer-facing reporting, weekly email snapshot (CR-002, release 1.1).</w:t>
      </w:r>
    </w:p>
    <w:bookmarkEnd w:id="22"/>
    <w:bookmarkStart w:id="23" w:name="requirements"/>
    <w:p>
      <w:pPr>
        <w:pStyle w:val="Heading1"/>
      </w:pPr>
      <w:r>
        <w:t xml:space="preserve">4. Requirements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ID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Type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Requirement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Priority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BR-01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Business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One uniform definition for each operational KPI across commercial and operations teams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MIR-E2, MIR-E3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BR-02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Business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Remove manual spreadsheet maintenance from weekly reporting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MIR-E1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BR-03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Business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Leaders can see velocity, resolution rate, margin variance and utilization in one place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MIR-E4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FR-01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Functional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Clean exports: parse mixed date formats, null tokens, whitespace, amounts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MIR-101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FR-02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Functional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Quarantine rejected rows with reason codes; report counts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MIR-102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FR-03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Functional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Load star schema with surrogate keys and integrity checks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MIR-103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FR-04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Functional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Calendar flags Saturday-Sunday and UAE public holidays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MIR-104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FR-05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Functional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Clearance velocity: median working hours, weekends excluded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MIR-105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FR-06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Functional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Daily resolution rate = resolved that day / incoming that day, working days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MIR-106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FR-07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Functional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Margin variance % vs monthly budget by team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MIR-107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FR-08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Functional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Executive dashboard with KPI cards, trend, heat map, left-rail slicers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MIR-108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FR-09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Functional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Excel utilization workbook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MIR-109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FR-10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Functional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Row-level security by team; refresh daily 06:30 GST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MIR-110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NFR-01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Non-functional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Pipeline processes 50,000 rows in under 60 seconds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MIR-101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NFR-02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Non-functional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Dashboard opens in under 5 seconds for 12 months of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MIR-108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NFR-03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Non-functional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All timestamps GST; dashboard labels state the time zone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MIR-104</w:t>
            </w:r>
          </w:p>
        </w:tc>
      </w:tr>
    </w:tbl>
    <w:bookmarkEnd w:id="23"/>
    <w:bookmarkStart w:id="24" w:name="business-rules"/>
    <w:p>
      <w:pPr>
        <w:pStyle w:val="Heading1"/>
      </w:pPr>
      <w:r>
        <w:t xml:space="preserve">5. Business rules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ID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BRL-01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 ticket is resolved when status is RESOLVED and resolved_at is populated; open, in-progress and pending are unresolved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BRL-02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Weekend is Saturday and Sunday; public holidays are non-working days for rate measures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BRL-03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Clearance hours remove Saturday and Sunday time; weekday hours count as 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BRL-04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All timestamps in the export are GST (UTC+4), day-first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BRL-05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Rows with missing txn_id, unparseable opened_at, resolved before opened, non-numeric amounts, unknown status, duplicate ticket_ref or missing ticket_ref are quarantined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BRL-06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Budget is held monthly by team; margin variance is shown at month grain or above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BRL-07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Utilization = booked hours / available hours; available = FTE x working days x 8</w:t>
            </w:r>
          </w:p>
        </w:tc>
      </w:tr>
    </w:tbl>
    <w:bookmarkEnd w:id="24"/>
    <w:bookmarkStart w:id="25" w:name="gap-analysis"/>
    <w:p>
      <w:pPr>
        <w:pStyle w:val="Heading1"/>
      </w:pPr>
      <w:r>
        <w:t xml:space="preserve">6. Gap analysis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Area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As-Is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To-Be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Closed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Data cleaning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Manual in Excel each week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Python pipeline with quarantine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MIR-101, MIR-102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Definitions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Three meanings of resolved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One glossary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MIR-103, MIR-105 to MIR-107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Reporting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11 spreadsheets, slide copy-paste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One model, one dashboard, one workbook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MIR-108, MIR-109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Email attachments to everyone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RLS by team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MIR-110</w:t>
            </w:r>
          </w:p>
        </w:tc>
      </w:tr>
    </w:tbl>
    <w:bookmarkEnd w:id="25"/>
    <w:bookmarkStart w:id="26" w:name="raci"/>
    <w:p>
      <w:pPr>
        <w:pStyle w:val="Heading1"/>
      </w:pPr>
      <w:r>
        <w:t xml:space="preserve">7. RACI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Deliverable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COO (Sponsor)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Head Fin Ops (PO)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BI Lead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IT Security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Ops Managers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Requirements elicitation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KPI definitions and data dictionary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Data model design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Pipeline build (Python)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A/R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DAX measures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A/R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Dashboard design sign-off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Security (RLS)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UAT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Go-live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</w:t>
            </w:r>
          </w:p>
        </w:tc>
      </w:tr>
    </w:tbl>
    <w:bookmarkEnd w:id="26"/>
    <w:bookmarkStart w:id="27" w:name="results-modelled"/>
    <w:p>
      <w:pPr>
        <w:pStyle w:val="Heading1"/>
      </w:pPr>
      <w:r>
        <w:t xml:space="preserve">8. Results (modelled)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Measure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Target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Result in the synthetic data 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Weekly preparation 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6 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6 h (pipeline plus 30-minute review) in the pilot week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Rows reaching model that fail rules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0 (168 of 2,238 quarantined, 7.5%)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KPI glossary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6 of 6 signed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6 of 6 signed 18 June</w:t>
            </w:r>
          </w:p>
        </w:tc>
      </w:tr>
    </w:tbl>
    <w:bookmarkEnd w:id="27"/>
    <w:bookmarkStart w:id="28" w:name="sign-off"/>
    <w:p>
      <w:pPr>
        <w:pStyle w:val="Heading1"/>
      </w:pPr>
      <w:r>
        <w:t xml:space="preserve">9. Sign-off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Role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Name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Decision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COO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Lina Haddad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Approved v1.0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2025-06-18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Head of Finance Operations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Reem Khan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Approved v1.0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2025-06-18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BI Lead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Priyanka Rao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Approved v1.0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2025-06-18</w:t>
            </w:r>
          </w:p>
        </w:tc>
      </w:tr>
    </w:tbl>
    <w:bookmarkEnd w:id="28"/>
    <w:sectPr>
      <w:footerReference w:type="default" r:id="rId9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07070"/>
        <w:sz w:val="16"/>
      </w:rPr>
      <w:t>Simulated portfolio project - fictional client, synthetic data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rial" w:hAnsi="Arial" w:eastAsia="Arial"/>
      <w:b/>
      <w:bCs/>
      <w:color w:val="1F3A5F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Arial" w:hAnsi="Arial" w:eastAsia="Arial"/>
      <w:b/>
      <w:bCs/>
      <w:color w:val="1F3A5F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Arial" w:hAnsi="Arial" w:eastAsia="Arial"/>
      <w:b/>
      <w:bCs/>
      <w:color w:val="1F3A5F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Arial" w:hAnsi="Arial" w:eastAsia="Arial"/>
      <w:b/>
      <w:bCs/>
      <w:color w:val="1F3A5F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Arial" w:hAnsi="Arial" w:eastAsia="Arial"/>
      <w:i/>
      <w:bCs/>
      <w:color w:val="1F3A5F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Arial" w:hAnsi="Arial" w:eastAsia="Arial"/>
      <w:iCs/>
      <w:color w:val="1F3A5F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Arial" w:hAnsi="Arial" w:eastAsia="Arial"/>
      <w:color w:val="1F3A5F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Arial" w:hAnsi="Arial" w:eastAsia="Arial"/>
      <w:color w:val="1F3A5F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Arial" w:hAnsi="Arial" w:eastAsia="Arial"/>
      <w:color w:val="1F3A5F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Arial" w:hAnsi="Arial" w:eastAsia="Arial"/>
      <w:color w:val="1F3A5F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hAnsi="Arial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hAnsi="Arial"/>
      <w:b/>
    </w:rPr>
  </w:style>
  <w:style w:customStyle="1" w:styleId="Definition" w:type="paragraph">
    <w:name w:val="Definition"/>
    <w:basedOn w:val="Normal"/>
    <w:rPr>
      <w:rFonts w:ascii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hAnsi="Arial"/>
    </w:rPr>
  </w:style>
  <w:style w:customStyle="1" w:styleId="ImageCaption" w:type="paragraph">
    <w:name w:val="Image Caption"/>
    <w:basedOn w:val="Caption"/>
    <w:rPr>
      <w:rFonts w:ascii="Arial" w:hAnsi="Arial"/>
    </w:rPr>
  </w:style>
  <w:style w:customStyle="1" w:styleId="Figure" w:type="paragraph">
    <w:name w:val="Figure"/>
    <w:basedOn w:val="Normal"/>
    <w:rPr>
      <w:rFonts w:ascii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hAnsi="Arial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Arial" w:hAnsi="Arial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/>
      <w:sz w:val="16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Mirsad - Business Requirements Document</dc:title>
  <dc:creator>Imran Kathat, Business Analyst</dc:creator>
  <cp:keywords/>
  <dcterms:created xsi:type="dcterms:W3CDTF">2026-10-03T10:58:02Z</dcterms:created>
  <dcterms:modified xsi:type="dcterms:W3CDTF">2026-10-03T10:58:02Z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