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i w:val="false"/>
          <w:iCs w:val="false"/>
          <w:color w:val="C9A227"/>
          <w:sz w:val="18"/>
          <w:szCs w:val="18"/>
        </w:rPr>
        <w:t xml:space="preserve">AMaC PUBLISHING  ·  UKMLA / CPSA</w:t>
      </w:r>
    </w:p>
    <w:p>
      <w:pPr>
        <w:spacing w:after="30" w:before="0"/>
      </w:pPr>
      <w:r>
        <w:rPr>
          <w:rFonts w:ascii="Arial" w:cs="Arial" w:eastAsia="Arial" w:hAnsi="Arial"/>
          <w:b/>
          <w:bCs/>
          <w:i w:val="false"/>
          <w:iCs w:val="false"/>
          <w:color w:val="555555"/>
          <w:sz w:val="18"/>
          <w:szCs w:val="18"/>
        </w:rPr>
        <w:t xml:space="preserve">CPSA Gold-Standard Worked Example</w:t>
      </w:r>
    </w:p>
    <w:p>
      <w:pPr>
        <w:spacing w:after="20" w:before="0"/>
      </w:pPr>
      <w:r>
        <w:rPr>
          <w:rFonts w:ascii="Arial" w:cs="Arial" w:eastAsia="Arial" w:hAnsi="Arial"/>
          <w:b/>
          <w:bCs/>
          <w:i w:val="false"/>
          <w:iCs w:val="false"/>
          <w:color w:val="1B2A4A"/>
          <w:sz w:val="26"/>
          <w:szCs w:val="26"/>
        </w:rPr>
        <w:t xml:space="preserve">Station COMM-22 — New Diagnosis of Type 2 Diabetes</w:t>
      </w:r>
    </w:p>
    <w:p>
      <w:pPr>
        <w:spacing w:after="60" w:before="0"/>
      </w:pPr>
      <w:r>
        <w:rPr>
          <w:rFonts w:ascii="Arial" w:cs="Arial" w:eastAsia="Arial" w:hAnsi="Arial"/>
          <w:b w:val="false"/>
          <w:bCs w:val="false"/>
          <w:i/>
          <w:iCs/>
          <w:color w:val="555555"/>
          <w:sz w:val="18"/>
          <w:szCs w:val="18"/>
        </w:rPr>
        <w:t xml:space="preserve">Category: communication and long-term conditions</w:t>
      </w:r>
    </w:p>
    <w:p>
      <w:pPr>
        <w:pStyle w:val="Heading2"/>
        <w:spacing w:after="100" w:before="200"/>
      </w:pPr>
      <w:r>
        <w:rPr>
          <w:rFonts w:ascii="Arial" w:cs="Arial" w:eastAsia="Arial" w:hAnsi="Arial"/>
          <w:b/>
          <w:bCs/>
          <w:i w:val="false"/>
          <w:iCs w:val="false"/>
          <w:color w:val="1B2A4A"/>
          <w:sz w:val="22"/>
          <w:szCs w:val="22"/>
        </w:rPr>
        <w:t xml:space="preserve">1 · Brief</w:t>
      </w:r>
    </w:p>
    <w:p>
      <w:pPr>
        <w:spacing w:after="30" w:before="0"/>
      </w:pPr>
      <w:r>
        <w:rPr>
          <w:rFonts w:ascii="Arial" w:cs="Arial" w:eastAsia="Arial" w:hAnsi="Arial"/>
          <w:b/>
          <w:bCs/>
          <w:i w:val="false"/>
          <w:iCs w:val="false"/>
          <w:color w:val="1A1A1A"/>
          <w:sz w:val="19"/>
          <w:szCs w:val="19"/>
        </w:rPr>
        <w:t xml:space="preserve">Station ID:  </w:t>
      </w:r>
      <w:r>
        <w:rPr>
          <w:rFonts w:ascii="Arial" w:cs="Arial" w:eastAsia="Arial" w:hAnsi="Arial"/>
          <w:b w:val="false"/>
          <w:bCs w:val="false"/>
          <w:i w:val="false"/>
          <w:iCs w:val="false"/>
          <w:color w:val="1A1A1A"/>
          <w:sz w:val="19"/>
          <w:szCs w:val="19"/>
        </w:rPr>
        <w:t xml:space="preserve">COMM-22</w:t>
      </w:r>
    </w:p>
    <w:p>
      <w:pPr>
        <w:spacing w:after="30" w:before="0"/>
      </w:pPr>
      <w:r>
        <w:rPr>
          <w:rFonts w:ascii="Arial" w:cs="Arial" w:eastAsia="Arial" w:hAnsi="Arial"/>
          <w:b/>
          <w:bCs/>
          <w:i w:val="false"/>
          <w:iCs w:val="false"/>
          <w:color w:val="1A1A1A"/>
          <w:sz w:val="19"/>
          <w:szCs w:val="19"/>
        </w:rPr>
        <w:t xml:space="preserve">Setting:  </w:t>
      </w:r>
      <w:r>
        <w:rPr>
          <w:rFonts w:ascii="Arial" w:cs="Arial" w:eastAsia="Arial" w:hAnsi="Arial"/>
          <w:b w:val="false"/>
          <w:bCs w:val="false"/>
          <w:i w:val="false"/>
          <w:iCs w:val="false"/>
          <w:color w:val="1A1A1A"/>
          <w:sz w:val="19"/>
          <w:szCs w:val="19"/>
        </w:rPr>
        <w:t xml:space="preserve">GP surgery. You are the FY1.</w:t>
      </w:r>
    </w:p>
    <w:p>
      <w:pPr>
        <w:spacing w:after="30" w:before="0"/>
      </w:pPr>
      <w:r>
        <w:rPr>
          <w:rFonts w:ascii="Arial" w:cs="Arial" w:eastAsia="Arial" w:hAnsi="Arial"/>
          <w:b/>
          <w:bCs/>
          <w:i w:val="false"/>
          <w:iCs w:val="false"/>
          <w:color w:val="1A1A1A"/>
          <w:sz w:val="19"/>
          <w:szCs w:val="19"/>
        </w:rPr>
        <w:t xml:space="preserve">Time:  </w:t>
      </w:r>
      <w:r>
        <w:rPr>
          <w:rFonts w:ascii="Arial" w:cs="Arial" w:eastAsia="Arial" w:hAnsi="Arial"/>
          <w:b w:val="false"/>
          <w:bCs w:val="false"/>
          <w:i w:val="false"/>
          <w:iCs w:val="false"/>
          <w:color w:val="1A1A1A"/>
          <w:sz w:val="19"/>
          <w:szCs w:val="19"/>
        </w:rPr>
        <w:t xml:space="preserve">8 minutes</w:t>
      </w:r>
    </w:p>
    <w:p>
      <w:pPr>
        <w:spacing w:after="80" w:before="0"/>
      </w:pPr>
      <w:r>
        <w:rPr>
          <w:rFonts w:ascii="Arial" w:cs="Arial" w:eastAsia="Arial" w:hAnsi="Arial"/>
          <w:b/>
          <w:bCs/>
          <w:i w:val="false"/>
          <w:iCs w:val="false"/>
          <w:color w:val="1A1A1A"/>
          <w:sz w:val="19"/>
          <w:szCs w:val="19"/>
        </w:rPr>
        <w:t xml:space="preserve">Your role:  </w:t>
      </w:r>
      <w:r>
        <w:rPr>
          <w:rFonts w:ascii="Arial" w:cs="Arial" w:eastAsia="Arial" w:hAnsi="Arial"/>
          <w:b w:val="false"/>
          <w:bCs w:val="false"/>
          <w:i w:val="false"/>
          <w:iCs w:val="false"/>
          <w:color w:val="1A1A1A"/>
          <w:sz w:val="19"/>
          <w:szCs w:val="19"/>
        </w:rPr>
        <w:t xml:space="preserve">A 52-year-old man has just been told he has type 2 diabetes. He is shocked. Explain the diagnosis and agree first steps.</w:t>
      </w:r>
    </w:p>
    <w:p>
      <w:pPr>
        <w:pStyle w:val="Heading2"/>
        <w:spacing w:after="100" w:before="200"/>
      </w:pPr>
      <w:r>
        <w:rPr>
          <w:rFonts w:ascii="Arial" w:cs="Arial" w:eastAsia="Arial" w:hAnsi="Arial"/>
          <w:b/>
          <w:bCs/>
          <w:i w:val="false"/>
          <w:iCs w:val="false"/>
          <w:color w:val="1B2A4A"/>
          <w:sz w:val="22"/>
          <w:szCs w:val="22"/>
        </w:rPr>
        <w:t xml:space="preserve">2 · Scenario</w:t>
      </w:r>
    </w:p>
    <w:p>
      <w:pPr>
        <w:spacing w:after="60" w:before="0"/>
      </w:pPr>
      <w:r>
        <w:rPr>
          <w:rFonts w:ascii="Arial" w:cs="Arial" w:eastAsia="Arial" w:hAnsi="Arial"/>
          <w:b w:val="false"/>
          <w:bCs w:val="false"/>
          <w:i w:val="false"/>
          <w:iCs w:val="false"/>
          <w:color w:val="1A1A1A"/>
          <w:sz w:val="19"/>
          <w:szCs w:val="19"/>
        </w:rPr>
        <w:t xml:space="preserve">Mr Paul Henderson, 52, HbA1c 58 mmol/mol on repeat testing — confirms type 2 diabetes. BMI 31, sedentary job, diet high in refined carbohydrates. BP 142/88. Non-smoker. Family history: father had diabetes.</w:t>
      </w:r>
    </w:p>
    <w:p>
      <w:pPr>
        <w:spacing w:after="60" w:before="0"/>
      </w:pPr>
      <w:r>
        <w:rPr>
          <w:rFonts w:ascii="Arial" w:cs="Arial" w:eastAsia="Arial" w:hAnsi="Arial"/>
          <w:b w:val="false"/>
          <w:bCs w:val="false"/>
          <w:i w:val="false"/>
          <w:iCs w:val="false"/>
          <w:color w:val="1A1A1A"/>
          <w:sz w:val="19"/>
          <w:szCs w:val="19"/>
        </w:rPr>
        <w:t xml:space="preserve">The actor plays Mr Henderson, who is shocked and worried because his father had diabetes and “lost a toe.” He wants to know what it means and whether he will need insulin.</w:t>
      </w:r>
    </w:p>
    <w:p>
      <w:pPr>
        <w:pStyle w:val="Heading2"/>
        <w:spacing w:after="100" w:before="200"/>
      </w:pPr>
      <w:r>
        <w:rPr>
          <w:rFonts w:ascii="Arial" w:cs="Arial" w:eastAsia="Arial" w:hAnsi="Arial"/>
          <w:b/>
          <w:bCs/>
          <w:i w:val="false"/>
          <w:iCs w:val="false"/>
          <w:color w:val="1B2A4A"/>
          <w:sz w:val="22"/>
          <w:szCs w:val="22"/>
        </w:rPr>
        <w:t xml:space="preserve">3 · Examiner Marking Domains</w:t>
      </w:r>
    </w:p>
    <w:tbl>
      <w:tblPr>
        <w:tblW w:type="dxa" w:w="9360"/>
        <w:tblBorders>
          <w:top w:val="single" w:color="CCCCCC" w:sz="4"/>
          <w:left w:val="single" w:color="CCCCCC" w:sz="4"/>
          <w:bottom w:val="single" w:color="CCCCCC" w:sz="4"/>
          <w:right w:val="single" w:color="CCCCCC" w:sz="4"/>
          <w:insideH w:val="single" w:color="auto" w:sz="4"/>
          <w:insideV w:val="single" w:color="auto" w:sz="4"/>
        </w:tblBorders>
      </w:tblPr>
      <w:tblGrid>
        <w:gridCol w:w="5360"/>
        <w:gridCol w:w="1000"/>
        <w:gridCol w:w="1000"/>
        <w:gridCol w:w="2000"/>
      </w:tblGrid>
      <w:tr>
        <w:trPr>
          <w:tblHeader/>
        </w:trPr>
        <w:tc>
          <w:tcPr>
            <w:tcW w:type="dxa" w:w="5360"/>
            <w:tcBorders>
              <w:top w:val="single" w:color="CCCCCC" w:sz="4"/>
              <w:left w:val="single" w:color="CCCCCC" w:sz="4"/>
              <w:bottom w:val="single" w:color="CCCCCC" w:sz="4"/>
              <w:right w:val="single" w:color="CCCCCC" w:sz="4"/>
            </w:tcBorders>
            <w:shd w:fill="1B2A4A" w:val="clear"/>
            <w:tcMar>
              <w:top w:type="dxa" w:w="60"/>
              <w:left w:type="dxa" w:w="100"/>
              <w:bottom w:type="dxa" w:w="60"/>
              <w:right w:type="dxa" w:w="100"/>
            </w:tcMar>
          </w:tcPr>
          <w:p>
            <w:pPr>
              <w:spacing w:after="0" w:before="0"/>
            </w:pPr>
            <w:r>
              <w:rPr>
                <w:rFonts w:ascii="Arial" w:cs="Arial" w:eastAsia="Arial" w:hAnsi="Arial"/>
                <w:b/>
                <w:bCs/>
                <w:i w:val="false"/>
                <w:iCs w:val="false"/>
                <w:color w:val="FFFFFF"/>
                <w:sz w:val="17"/>
                <w:szCs w:val="17"/>
              </w:rPr>
              <w:t xml:space="preserve">Marking domain</w:t>
            </w:r>
          </w:p>
        </w:tc>
        <w:tc>
          <w:tcPr>
            <w:tcW w:type="dxa" w:w="1000"/>
            <w:tcBorders>
              <w:top w:val="single" w:color="CCCCCC" w:sz="4"/>
              <w:left w:val="single" w:color="CCCCCC" w:sz="4"/>
              <w:bottom w:val="single" w:color="CCCCCC" w:sz="4"/>
              <w:right w:val="single" w:color="CCCCCC" w:sz="4"/>
            </w:tcBorders>
            <w:shd w:fill="1B2A4A" w:val="clear"/>
            <w:tcMar>
              <w:top w:type="dxa" w:w="60"/>
              <w:left w:type="dxa" w:w="100"/>
              <w:bottom w:type="dxa" w:w="60"/>
              <w:right w:type="dxa" w:w="100"/>
            </w:tcMar>
          </w:tcPr>
          <w:p>
            <w:pPr>
              <w:spacing w:after="0" w:before="0"/>
              <w:jc w:val="center"/>
            </w:pPr>
            <w:r>
              <w:rPr>
                <w:rFonts w:ascii="Arial" w:cs="Arial" w:eastAsia="Arial" w:hAnsi="Arial"/>
                <w:b/>
                <w:bCs/>
                <w:i w:val="false"/>
                <w:iCs w:val="false"/>
                <w:color w:val="FFFFFF"/>
                <w:sz w:val="17"/>
                <w:szCs w:val="17"/>
              </w:rPr>
              <w:t xml:space="preserve">Fail</w:t>
            </w:r>
          </w:p>
        </w:tc>
        <w:tc>
          <w:tcPr>
            <w:tcW w:type="dxa" w:w="1000"/>
            <w:tcBorders>
              <w:top w:val="single" w:color="CCCCCC" w:sz="4"/>
              <w:left w:val="single" w:color="CCCCCC" w:sz="4"/>
              <w:bottom w:val="single" w:color="CCCCCC" w:sz="4"/>
              <w:right w:val="single" w:color="CCCCCC" w:sz="4"/>
            </w:tcBorders>
            <w:shd w:fill="1B2A4A" w:val="clear"/>
            <w:tcMar>
              <w:top w:type="dxa" w:w="60"/>
              <w:left w:type="dxa" w:w="100"/>
              <w:bottom w:type="dxa" w:w="60"/>
              <w:right w:type="dxa" w:w="100"/>
            </w:tcMar>
          </w:tcPr>
          <w:p>
            <w:pPr>
              <w:spacing w:after="0" w:before="0"/>
              <w:jc w:val="center"/>
            </w:pPr>
            <w:r>
              <w:rPr>
                <w:rFonts w:ascii="Arial" w:cs="Arial" w:eastAsia="Arial" w:hAnsi="Arial"/>
                <w:b/>
                <w:bCs/>
                <w:i w:val="false"/>
                <w:iCs w:val="false"/>
                <w:color w:val="FFFFFF"/>
                <w:sz w:val="17"/>
                <w:szCs w:val="17"/>
              </w:rPr>
              <w:t xml:space="preserve">Pass</w:t>
            </w:r>
          </w:p>
        </w:tc>
        <w:tc>
          <w:tcPr>
            <w:tcW w:type="dxa" w:w="2000"/>
            <w:tcBorders>
              <w:top w:val="single" w:color="CCCCCC" w:sz="4"/>
              <w:left w:val="single" w:color="CCCCCC" w:sz="4"/>
              <w:bottom w:val="single" w:color="CCCCCC" w:sz="4"/>
              <w:right w:val="single" w:color="CCCCCC" w:sz="4"/>
            </w:tcBorders>
            <w:shd w:fill="1B2A4A" w:val="clear"/>
            <w:tcMar>
              <w:top w:type="dxa" w:w="60"/>
              <w:left w:type="dxa" w:w="100"/>
              <w:bottom w:type="dxa" w:w="60"/>
              <w:right w:type="dxa" w:w="100"/>
            </w:tcMar>
          </w:tcPr>
          <w:p>
            <w:pPr>
              <w:spacing w:after="0" w:before="0"/>
              <w:jc w:val="center"/>
            </w:pPr>
            <w:r>
              <w:rPr>
                <w:rFonts w:ascii="Arial" w:cs="Arial" w:eastAsia="Arial" w:hAnsi="Arial"/>
                <w:b/>
                <w:bCs/>
                <w:i w:val="false"/>
                <w:iCs w:val="false"/>
                <w:color w:val="FFFFFF"/>
                <w:sz w:val="17"/>
                <w:szCs w:val="17"/>
              </w:rPr>
              <w:t xml:space="preserve">Distinction</w:t>
            </w:r>
          </w:p>
        </w:tc>
      </w:tr>
      <w:tr>
        <w:tc>
          <w:tcPr>
            <w:tcW w:type="dxa" w:w="5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pPr>
              <w:spacing w:after="0" w:before="0"/>
            </w:pPr>
            <w:r>
              <w:rPr>
                <w:rFonts w:ascii="Arial" w:cs="Arial" w:eastAsia="Arial" w:hAnsi="Arial"/>
                <w:b w:val="false"/>
                <w:bCs w:val="false"/>
                <w:i w:val="false"/>
                <w:iCs w:val="false"/>
                <w:color w:val="1A1A1A"/>
                <w:sz w:val="17"/>
                <w:szCs w:val="17"/>
              </w:rPr>
              <w:t xml:space="preserve">Opens the consultation appropriately and identifies the patient’s agenda</w:t>
            </w:r>
          </w:p>
        </w:tc>
        <w:tc>
          <w:tcPr>
            <w:tcW w:type="dxa" w:w="1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922B21"/>
                <w:sz w:val="18"/>
                <w:szCs w:val="18"/>
              </w:rPr>
              <w:t xml:space="preserve">✗</w:t>
            </w:r>
          </w:p>
        </w:tc>
        <w:tc>
          <w:tcPr>
            <w:tcW w:type="dxa" w:w="1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1E8449"/>
                <w:sz w:val="18"/>
                <w:szCs w:val="18"/>
              </w:rPr>
              <w:t xml:space="preserve">✓</w:t>
            </w:r>
          </w:p>
        </w:tc>
        <w:tc>
          <w:tcPr>
            <w:tcW w:type="dxa" w:w="2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C9A227"/>
                <w:sz w:val="18"/>
                <w:szCs w:val="18"/>
              </w:rPr>
              <w:t xml:space="preserve">★</w:t>
            </w:r>
          </w:p>
        </w:tc>
      </w:tr>
      <w:tr>
        <w:tc>
          <w:tcPr>
            <w:tcW w:type="dxa" w:w="5360"/>
            <w:tcBorders>
              <w:top w:val="single" w:color="CCCCCC" w:sz="4"/>
              <w:left w:val="single" w:color="CCCCCC" w:sz="4"/>
              <w:bottom w:val="single" w:color="CCCCCC" w:sz="4"/>
              <w:right w:val="single" w:color="CCCCCC" w:sz="4"/>
            </w:tcBorders>
            <w:shd w:fill="F4F6FA" w:val="clear"/>
            <w:tcMar>
              <w:top w:type="dxa" w:w="50"/>
              <w:left w:type="dxa" w:w="100"/>
              <w:bottom w:type="dxa" w:w="50"/>
              <w:right w:type="dxa" w:w="100"/>
            </w:tcMar>
          </w:tcPr>
          <w:p>
            <w:pPr>
              <w:spacing w:after="0" w:before="0"/>
            </w:pPr>
            <w:r>
              <w:rPr>
                <w:rFonts w:ascii="Arial" w:cs="Arial" w:eastAsia="Arial" w:hAnsi="Arial"/>
                <w:b w:val="false"/>
                <w:bCs w:val="false"/>
                <w:i w:val="false"/>
                <w:iCs w:val="false"/>
                <w:color w:val="1A1A1A"/>
                <w:sz w:val="17"/>
                <w:szCs w:val="17"/>
              </w:rPr>
              <w:t xml:space="preserve">Explains the diagnosis clearly in plain language</w:t>
            </w:r>
          </w:p>
        </w:tc>
        <w:tc>
          <w:tcPr>
            <w:tcW w:type="dxa" w:w="1000"/>
            <w:tcBorders>
              <w:top w:val="single" w:color="CCCCCC" w:sz="4"/>
              <w:left w:val="single" w:color="CCCCCC" w:sz="4"/>
              <w:bottom w:val="single" w:color="CCCCCC" w:sz="4"/>
              <w:right w:val="single" w:color="CCCCCC" w:sz="4"/>
            </w:tcBorders>
            <w:shd w:fill="F4F6FA" w:val="clear"/>
            <w:tcMar>
              <w:top w:type="dxa" w:w="50"/>
              <w:left w:type="dxa" w:w="60"/>
              <w:bottom w:type="dxa" w:w="50"/>
              <w:right w:type="dxa" w:w="60"/>
            </w:tcMar>
          </w:tcPr>
          <w:p>
            <w:pPr>
              <w:spacing w:after="0" w:before="0"/>
              <w:jc w:val="center"/>
            </w:pPr>
            <w:r>
              <w:rPr>
                <w:rFonts w:ascii="Arial" w:cs="Arial" w:eastAsia="Arial" w:hAnsi="Arial"/>
                <w:b/>
                <w:bCs/>
                <w:i w:val="false"/>
                <w:iCs w:val="false"/>
                <w:color w:val="922B21"/>
                <w:sz w:val="18"/>
                <w:szCs w:val="18"/>
              </w:rPr>
              <w:t xml:space="preserve">✗</w:t>
            </w:r>
          </w:p>
        </w:tc>
        <w:tc>
          <w:tcPr>
            <w:tcW w:type="dxa" w:w="1000"/>
            <w:tcBorders>
              <w:top w:val="single" w:color="CCCCCC" w:sz="4"/>
              <w:left w:val="single" w:color="CCCCCC" w:sz="4"/>
              <w:bottom w:val="single" w:color="CCCCCC" w:sz="4"/>
              <w:right w:val="single" w:color="CCCCCC" w:sz="4"/>
            </w:tcBorders>
            <w:shd w:fill="F4F6FA" w:val="clear"/>
            <w:tcMar>
              <w:top w:type="dxa" w:w="50"/>
              <w:left w:type="dxa" w:w="60"/>
              <w:bottom w:type="dxa" w:w="50"/>
              <w:right w:type="dxa" w:w="60"/>
            </w:tcMar>
          </w:tcPr>
          <w:p>
            <w:pPr>
              <w:spacing w:after="0" w:before="0"/>
              <w:jc w:val="center"/>
            </w:pPr>
            <w:r>
              <w:rPr>
                <w:rFonts w:ascii="Arial" w:cs="Arial" w:eastAsia="Arial" w:hAnsi="Arial"/>
                <w:b/>
                <w:bCs/>
                <w:i w:val="false"/>
                <w:iCs w:val="false"/>
                <w:color w:val="1E8449"/>
                <w:sz w:val="18"/>
                <w:szCs w:val="18"/>
              </w:rPr>
              <w:t xml:space="preserve">✓</w:t>
            </w:r>
          </w:p>
        </w:tc>
        <w:tc>
          <w:tcPr>
            <w:tcW w:type="dxa" w:w="2000"/>
            <w:tcBorders>
              <w:top w:val="single" w:color="CCCCCC" w:sz="4"/>
              <w:left w:val="single" w:color="CCCCCC" w:sz="4"/>
              <w:bottom w:val="single" w:color="CCCCCC" w:sz="4"/>
              <w:right w:val="single" w:color="CCCCCC" w:sz="4"/>
            </w:tcBorders>
            <w:shd w:fill="F4F6FA" w:val="clear"/>
            <w:tcMar>
              <w:top w:type="dxa" w:w="50"/>
              <w:left w:type="dxa" w:w="60"/>
              <w:bottom w:type="dxa" w:w="50"/>
              <w:right w:type="dxa" w:w="60"/>
            </w:tcMar>
          </w:tcPr>
          <w:p>
            <w:pPr>
              <w:spacing w:after="0" w:before="0"/>
              <w:jc w:val="center"/>
            </w:pPr>
            <w:r>
              <w:rPr>
                <w:rFonts w:ascii="Arial" w:cs="Arial" w:eastAsia="Arial" w:hAnsi="Arial"/>
                <w:b/>
                <w:bCs/>
                <w:i w:val="false"/>
                <w:iCs w:val="false"/>
                <w:color w:val="C9A227"/>
                <w:sz w:val="18"/>
                <w:szCs w:val="18"/>
              </w:rPr>
              <w:t xml:space="preserve">★</w:t>
            </w:r>
          </w:p>
        </w:tc>
      </w:tr>
      <w:tr>
        <w:tc>
          <w:tcPr>
            <w:tcW w:type="dxa" w:w="5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pPr>
              <w:spacing w:after="0" w:before="0"/>
            </w:pPr>
            <w:r>
              <w:rPr>
                <w:rFonts w:ascii="Arial" w:cs="Arial" w:eastAsia="Arial" w:hAnsi="Arial"/>
                <w:b w:val="false"/>
                <w:bCs w:val="false"/>
                <w:i w:val="false"/>
                <w:iCs w:val="false"/>
                <w:color w:val="1A1A1A"/>
                <w:sz w:val="17"/>
                <w:szCs w:val="17"/>
              </w:rPr>
              <w:t xml:space="preserve">Addresses the patient’s emotional response before giving information</w:t>
            </w:r>
          </w:p>
        </w:tc>
        <w:tc>
          <w:tcPr>
            <w:tcW w:type="dxa" w:w="1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922B21"/>
                <w:sz w:val="18"/>
                <w:szCs w:val="18"/>
              </w:rPr>
              <w:t xml:space="preserve">✗</w:t>
            </w:r>
          </w:p>
        </w:tc>
        <w:tc>
          <w:tcPr>
            <w:tcW w:type="dxa" w:w="1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1E8449"/>
                <w:sz w:val="18"/>
                <w:szCs w:val="18"/>
              </w:rPr>
              <w:t xml:space="preserve">✓</w:t>
            </w:r>
          </w:p>
        </w:tc>
        <w:tc>
          <w:tcPr>
            <w:tcW w:type="dxa" w:w="2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C9A227"/>
                <w:sz w:val="18"/>
                <w:szCs w:val="18"/>
              </w:rPr>
              <w:t xml:space="preserve">★</w:t>
            </w:r>
          </w:p>
        </w:tc>
      </w:tr>
      <w:tr>
        <w:tc>
          <w:tcPr>
            <w:tcW w:type="dxa" w:w="5360"/>
            <w:tcBorders>
              <w:top w:val="single" w:color="CCCCCC" w:sz="4"/>
              <w:left w:val="single" w:color="CCCCCC" w:sz="4"/>
              <w:bottom w:val="single" w:color="CCCCCC" w:sz="4"/>
              <w:right w:val="single" w:color="CCCCCC" w:sz="4"/>
            </w:tcBorders>
            <w:shd w:fill="F4F6FA" w:val="clear"/>
            <w:tcMar>
              <w:top w:type="dxa" w:w="50"/>
              <w:left w:type="dxa" w:w="100"/>
              <w:bottom w:type="dxa" w:w="50"/>
              <w:right w:type="dxa" w:w="100"/>
            </w:tcMar>
          </w:tcPr>
          <w:p>
            <w:pPr>
              <w:spacing w:after="0" w:before="0"/>
            </w:pPr>
            <w:r>
              <w:rPr>
                <w:rFonts w:ascii="Arial" w:cs="Arial" w:eastAsia="Arial" w:hAnsi="Arial"/>
                <w:b w:val="false"/>
                <w:bCs w:val="false"/>
                <w:i w:val="false"/>
                <w:iCs w:val="false"/>
                <w:color w:val="1A1A1A"/>
                <w:sz w:val="17"/>
                <w:szCs w:val="17"/>
              </w:rPr>
              <w:t xml:space="preserve">Provides correct evidence-based management (lifestyle first, then metformin)</w:t>
            </w:r>
          </w:p>
        </w:tc>
        <w:tc>
          <w:tcPr>
            <w:tcW w:type="dxa" w:w="1000"/>
            <w:tcBorders>
              <w:top w:val="single" w:color="CCCCCC" w:sz="4"/>
              <w:left w:val="single" w:color="CCCCCC" w:sz="4"/>
              <w:bottom w:val="single" w:color="CCCCCC" w:sz="4"/>
              <w:right w:val="single" w:color="CCCCCC" w:sz="4"/>
            </w:tcBorders>
            <w:shd w:fill="F4F6FA" w:val="clear"/>
            <w:tcMar>
              <w:top w:type="dxa" w:w="50"/>
              <w:left w:type="dxa" w:w="60"/>
              <w:bottom w:type="dxa" w:w="50"/>
              <w:right w:type="dxa" w:w="60"/>
            </w:tcMar>
          </w:tcPr>
          <w:p>
            <w:pPr>
              <w:spacing w:after="0" w:before="0"/>
              <w:jc w:val="center"/>
            </w:pPr>
            <w:r>
              <w:rPr>
                <w:rFonts w:ascii="Arial" w:cs="Arial" w:eastAsia="Arial" w:hAnsi="Arial"/>
                <w:b/>
                <w:bCs/>
                <w:i w:val="false"/>
                <w:iCs w:val="false"/>
                <w:color w:val="922B21"/>
                <w:sz w:val="18"/>
                <w:szCs w:val="18"/>
              </w:rPr>
              <w:t xml:space="preserve">✗</w:t>
            </w:r>
          </w:p>
        </w:tc>
        <w:tc>
          <w:tcPr>
            <w:tcW w:type="dxa" w:w="1000"/>
            <w:tcBorders>
              <w:top w:val="single" w:color="CCCCCC" w:sz="4"/>
              <w:left w:val="single" w:color="CCCCCC" w:sz="4"/>
              <w:bottom w:val="single" w:color="CCCCCC" w:sz="4"/>
              <w:right w:val="single" w:color="CCCCCC" w:sz="4"/>
            </w:tcBorders>
            <w:shd w:fill="F4F6FA" w:val="clear"/>
            <w:tcMar>
              <w:top w:type="dxa" w:w="50"/>
              <w:left w:type="dxa" w:w="60"/>
              <w:bottom w:type="dxa" w:w="50"/>
              <w:right w:type="dxa" w:w="60"/>
            </w:tcMar>
          </w:tcPr>
          <w:p>
            <w:pPr>
              <w:spacing w:after="0" w:before="0"/>
              <w:jc w:val="center"/>
            </w:pPr>
            <w:r>
              <w:rPr>
                <w:rFonts w:ascii="Arial" w:cs="Arial" w:eastAsia="Arial" w:hAnsi="Arial"/>
                <w:b/>
                <w:bCs/>
                <w:i w:val="false"/>
                <w:iCs w:val="false"/>
                <w:color w:val="1E8449"/>
                <w:sz w:val="18"/>
                <w:szCs w:val="18"/>
              </w:rPr>
              <w:t xml:space="preserve">✓</w:t>
            </w:r>
          </w:p>
        </w:tc>
        <w:tc>
          <w:tcPr>
            <w:tcW w:type="dxa" w:w="2000"/>
            <w:tcBorders>
              <w:top w:val="single" w:color="CCCCCC" w:sz="4"/>
              <w:left w:val="single" w:color="CCCCCC" w:sz="4"/>
              <w:bottom w:val="single" w:color="CCCCCC" w:sz="4"/>
              <w:right w:val="single" w:color="CCCCCC" w:sz="4"/>
            </w:tcBorders>
            <w:shd w:fill="F4F6FA" w:val="clear"/>
            <w:tcMar>
              <w:top w:type="dxa" w:w="50"/>
              <w:left w:type="dxa" w:w="60"/>
              <w:bottom w:type="dxa" w:w="50"/>
              <w:right w:type="dxa" w:w="60"/>
            </w:tcMar>
          </w:tcPr>
          <w:p>
            <w:pPr>
              <w:spacing w:after="0" w:before="0"/>
              <w:jc w:val="center"/>
            </w:pPr>
            <w:r>
              <w:rPr>
                <w:rFonts w:ascii="Arial" w:cs="Arial" w:eastAsia="Arial" w:hAnsi="Arial"/>
                <w:b/>
                <w:bCs/>
                <w:i w:val="false"/>
                <w:iCs w:val="false"/>
                <w:color w:val="C9A227"/>
                <w:sz w:val="18"/>
                <w:szCs w:val="18"/>
              </w:rPr>
              <w:t xml:space="preserve">★</w:t>
            </w:r>
          </w:p>
        </w:tc>
      </w:tr>
      <w:tr>
        <w:tc>
          <w:tcPr>
            <w:tcW w:type="dxa" w:w="5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pPr>
              <w:spacing w:after="0" w:before="0"/>
            </w:pPr>
            <w:r>
              <w:rPr>
                <w:rFonts w:ascii="Arial" w:cs="Arial" w:eastAsia="Arial" w:hAnsi="Arial"/>
                <w:b w:val="false"/>
                <w:bCs w:val="false"/>
                <w:i w:val="false"/>
                <w:iCs w:val="false"/>
                <w:color w:val="1A1A1A"/>
                <w:sz w:val="17"/>
                <w:szCs w:val="17"/>
              </w:rPr>
              <w:t xml:space="preserve">Explains complications and why control matters</w:t>
            </w:r>
          </w:p>
        </w:tc>
        <w:tc>
          <w:tcPr>
            <w:tcW w:type="dxa" w:w="1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922B21"/>
                <w:sz w:val="18"/>
                <w:szCs w:val="18"/>
              </w:rPr>
              <w:t xml:space="preserve">✗</w:t>
            </w:r>
          </w:p>
        </w:tc>
        <w:tc>
          <w:tcPr>
            <w:tcW w:type="dxa" w:w="1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1E8449"/>
                <w:sz w:val="18"/>
                <w:szCs w:val="18"/>
              </w:rPr>
              <w:t xml:space="preserve">✓</w:t>
            </w:r>
          </w:p>
        </w:tc>
        <w:tc>
          <w:tcPr>
            <w:tcW w:type="dxa" w:w="2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C9A227"/>
                <w:sz w:val="18"/>
                <w:szCs w:val="18"/>
              </w:rPr>
              <w:t xml:space="preserve">★</w:t>
            </w:r>
          </w:p>
        </w:tc>
      </w:tr>
      <w:tr>
        <w:tc>
          <w:tcPr>
            <w:tcW w:type="dxa" w:w="5360"/>
            <w:tcBorders>
              <w:top w:val="single" w:color="CCCCCC" w:sz="4"/>
              <w:left w:val="single" w:color="CCCCCC" w:sz="4"/>
              <w:bottom w:val="single" w:color="CCCCCC" w:sz="4"/>
              <w:right w:val="single" w:color="CCCCCC" w:sz="4"/>
            </w:tcBorders>
            <w:shd w:fill="F4F6FA" w:val="clear"/>
            <w:tcMar>
              <w:top w:type="dxa" w:w="50"/>
              <w:left w:type="dxa" w:w="100"/>
              <w:bottom w:type="dxa" w:w="50"/>
              <w:right w:type="dxa" w:w="100"/>
            </w:tcMar>
          </w:tcPr>
          <w:p>
            <w:pPr>
              <w:spacing w:after="0" w:before="0"/>
            </w:pPr>
            <w:r>
              <w:rPr>
                <w:rFonts w:ascii="Arial" w:cs="Arial" w:eastAsia="Arial" w:hAnsi="Arial"/>
                <w:b w:val="false"/>
                <w:bCs w:val="false"/>
                <w:i w:val="false"/>
                <w:iCs w:val="false"/>
                <w:color w:val="1A1A1A"/>
                <w:sz w:val="17"/>
                <w:szCs w:val="17"/>
              </w:rPr>
              <w:t xml:space="preserve">Gives correct DVLA advice</w:t>
            </w:r>
          </w:p>
        </w:tc>
        <w:tc>
          <w:tcPr>
            <w:tcW w:type="dxa" w:w="1000"/>
            <w:tcBorders>
              <w:top w:val="single" w:color="CCCCCC" w:sz="4"/>
              <w:left w:val="single" w:color="CCCCCC" w:sz="4"/>
              <w:bottom w:val="single" w:color="CCCCCC" w:sz="4"/>
              <w:right w:val="single" w:color="CCCCCC" w:sz="4"/>
            </w:tcBorders>
            <w:shd w:fill="F4F6FA" w:val="clear"/>
            <w:tcMar>
              <w:top w:type="dxa" w:w="50"/>
              <w:left w:type="dxa" w:w="60"/>
              <w:bottom w:type="dxa" w:w="50"/>
              <w:right w:type="dxa" w:w="60"/>
            </w:tcMar>
          </w:tcPr>
          <w:p>
            <w:pPr>
              <w:spacing w:after="0" w:before="0"/>
              <w:jc w:val="center"/>
            </w:pPr>
            <w:r>
              <w:rPr>
                <w:rFonts w:ascii="Arial" w:cs="Arial" w:eastAsia="Arial" w:hAnsi="Arial"/>
                <w:b/>
                <w:bCs/>
                <w:i w:val="false"/>
                <w:iCs w:val="false"/>
                <w:color w:val="922B21"/>
                <w:sz w:val="18"/>
                <w:szCs w:val="18"/>
              </w:rPr>
              <w:t xml:space="preserve">✗</w:t>
            </w:r>
          </w:p>
        </w:tc>
        <w:tc>
          <w:tcPr>
            <w:tcW w:type="dxa" w:w="1000"/>
            <w:tcBorders>
              <w:top w:val="single" w:color="CCCCCC" w:sz="4"/>
              <w:left w:val="single" w:color="CCCCCC" w:sz="4"/>
              <w:bottom w:val="single" w:color="CCCCCC" w:sz="4"/>
              <w:right w:val="single" w:color="CCCCCC" w:sz="4"/>
            </w:tcBorders>
            <w:shd w:fill="F4F6FA" w:val="clear"/>
            <w:tcMar>
              <w:top w:type="dxa" w:w="50"/>
              <w:left w:type="dxa" w:w="60"/>
              <w:bottom w:type="dxa" w:w="50"/>
              <w:right w:type="dxa" w:w="60"/>
            </w:tcMar>
          </w:tcPr>
          <w:p>
            <w:pPr>
              <w:spacing w:after="0" w:before="0"/>
              <w:jc w:val="center"/>
            </w:pPr>
            <w:r>
              <w:rPr>
                <w:rFonts w:ascii="Arial" w:cs="Arial" w:eastAsia="Arial" w:hAnsi="Arial"/>
                <w:b/>
                <w:bCs/>
                <w:i w:val="false"/>
                <w:iCs w:val="false"/>
                <w:color w:val="1E8449"/>
                <w:sz w:val="18"/>
                <w:szCs w:val="18"/>
              </w:rPr>
              <w:t xml:space="preserve">✓</w:t>
            </w:r>
          </w:p>
        </w:tc>
        <w:tc>
          <w:tcPr>
            <w:tcW w:type="dxa" w:w="2000"/>
            <w:tcBorders>
              <w:top w:val="single" w:color="CCCCCC" w:sz="4"/>
              <w:left w:val="single" w:color="CCCCCC" w:sz="4"/>
              <w:bottom w:val="single" w:color="CCCCCC" w:sz="4"/>
              <w:right w:val="single" w:color="CCCCCC" w:sz="4"/>
            </w:tcBorders>
            <w:shd w:fill="F4F6FA" w:val="clear"/>
            <w:tcMar>
              <w:top w:type="dxa" w:w="50"/>
              <w:left w:type="dxa" w:w="60"/>
              <w:bottom w:type="dxa" w:w="50"/>
              <w:right w:type="dxa" w:w="60"/>
            </w:tcMar>
          </w:tcPr>
          <w:p>
            <w:pPr>
              <w:spacing w:after="0" w:before="0"/>
              <w:jc w:val="center"/>
            </w:pPr>
            <w:r>
              <w:rPr>
                <w:rFonts w:ascii="Arial" w:cs="Arial" w:eastAsia="Arial" w:hAnsi="Arial"/>
                <w:b/>
                <w:bCs/>
                <w:i w:val="false"/>
                <w:iCs w:val="false"/>
                <w:color w:val="C9A227"/>
                <w:sz w:val="18"/>
                <w:szCs w:val="18"/>
              </w:rPr>
              <w:t xml:space="preserve">★</w:t>
            </w:r>
          </w:p>
        </w:tc>
      </w:tr>
      <w:tr>
        <w:tc>
          <w:tcPr>
            <w:tcW w:type="dxa" w:w="5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pPr>
              <w:spacing w:after="0" w:before="0"/>
            </w:pPr>
            <w:r>
              <w:rPr>
                <w:rFonts w:ascii="Arial" w:cs="Arial" w:eastAsia="Arial" w:hAnsi="Arial"/>
                <w:b w:val="false"/>
                <w:bCs w:val="false"/>
                <w:i w:val="false"/>
                <w:iCs w:val="false"/>
                <w:color w:val="1A1A1A"/>
                <w:sz w:val="17"/>
                <w:szCs w:val="17"/>
              </w:rPr>
              <w:t xml:space="preserve">Uses teach-back before closing</w:t>
            </w:r>
          </w:p>
        </w:tc>
        <w:tc>
          <w:tcPr>
            <w:tcW w:type="dxa" w:w="1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922B21"/>
                <w:sz w:val="18"/>
                <w:szCs w:val="18"/>
              </w:rPr>
              <w:t xml:space="preserve">✗</w:t>
            </w:r>
          </w:p>
        </w:tc>
        <w:tc>
          <w:tcPr>
            <w:tcW w:type="dxa" w:w="1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1E8449"/>
                <w:sz w:val="18"/>
                <w:szCs w:val="18"/>
              </w:rPr>
              <w:t xml:space="preserve">✓</w:t>
            </w:r>
          </w:p>
        </w:tc>
        <w:tc>
          <w:tcPr>
            <w:tcW w:type="dxa" w:w="2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C9A227"/>
                <w:sz w:val="18"/>
                <w:szCs w:val="18"/>
              </w:rPr>
              <w:t xml:space="preserve">★</w:t>
            </w:r>
          </w:p>
        </w:tc>
      </w:tr>
      <w:tr>
        <w:tc>
          <w:tcPr>
            <w:tcW w:type="dxa" w:w="5360"/>
            <w:tcBorders>
              <w:top w:val="single" w:color="CCCCCC" w:sz="4"/>
              <w:left w:val="single" w:color="CCCCCC" w:sz="4"/>
              <w:bottom w:val="single" w:color="CCCCCC" w:sz="4"/>
              <w:right w:val="single" w:color="CCCCCC" w:sz="4"/>
            </w:tcBorders>
            <w:shd w:fill="F4F6FA" w:val="clear"/>
            <w:tcMar>
              <w:top w:type="dxa" w:w="50"/>
              <w:left w:type="dxa" w:w="100"/>
              <w:bottom w:type="dxa" w:w="50"/>
              <w:right w:type="dxa" w:w="100"/>
            </w:tcMar>
          </w:tcPr>
          <w:p>
            <w:pPr>
              <w:spacing w:after="0" w:before="0"/>
            </w:pPr>
            <w:r>
              <w:rPr>
                <w:rFonts w:ascii="Arial" w:cs="Arial" w:eastAsia="Arial" w:hAnsi="Arial"/>
                <w:b w:val="false"/>
                <w:bCs w:val="false"/>
                <w:i w:val="false"/>
                <w:iCs w:val="false"/>
                <w:color w:val="1A1A1A"/>
                <w:sz w:val="17"/>
                <w:szCs w:val="17"/>
              </w:rPr>
              <w:t xml:space="preserve">Covers all key counselling points and refers to a structured education programme</w:t>
            </w:r>
          </w:p>
        </w:tc>
        <w:tc>
          <w:tcPr>
            <w:tcW w:type="dxa" w:w="1000"/>
            <w:tcBorders>
              <w:top w:val="single" w:color="CCCCCC" w:sz="4"/>
              <w:left w:val="single" w:color="CCCCCC" w:sz="4"/>
              <w:bottom w:val="single" w:color="CCCCCC" w:sz="4"/>
              <w:right w:val="single" w:color="CCCCCC" w:sz="4"/>
            </w:tcBorders>
            <w:shd w:fill="F4F6FA" w:val="clear"/>
            <w:tcMar>
              <w:top w:type="dxa" w:w="50"/>
              <w:left w:type="dxa" w:w="60"/>
              <w:bottom w:type="dxa" w:w="50"/>
              <w:right w:type="dxa" w:w="60"/>
            </w:tcMar>
          </w:tcPr>
          <w:p>
            <w:pPr>
              <w:spacing w:after="0" w:before="0"/>
              <w:jc w:val="center"/>
            </w:pPr>
            <w:r>
              <w:rPr>
                <w:rFonts w:ascii="Arial" w:cs="Arial" w:eastAsia="Arial" w:hAnsi="Arial"/>
                <w:b/>
                <w:bCs/>
                <w:i w:val="false"/>
                <w:iCs w:val="false"/>
                <w:color w:val="922B21"/>
                <w:sz w:val="18"/>
                <w:szCs w:val="18"/>
              </w:rPr>
              <w:t xml:space="preserve">✗</w:t>
            </w:r>
          </w:p>
        </w:tc>
        <w:tc>
          <w:tcPr>
            <w:tcW w:type="dxa" w:w="1000"/>
            <w:tcBorders>
              <w:top w:val="single" w:color="CCCCCC" w:sz="4"/>
              <w:left w:val="single" w:color="CCCCCC" w:sz="4"/>
              <w:bottom w:val="single" w:color="CCCCCC" w:sz="4"/>
              <w:right w:val="single" w:color="CCCCCC" w:sz="4"/>
            </w:tcBorders>
            <w:shd w:fill="F4F6FA" w:val="clear"/>
            <w:tcMar>
              <w:top w:type="dxa" w:w="50"/>
              <w:left w:type="dxa" w:w="60"/>
              <w:bottom w:type="dxa" w:w="50"/>
              <w:right w:type="dxa" w:w="60"/>
            </w:tcMar>
          </w:tcPr>
          <w:p>
            <w:pPr>
              <w:spacing w:after="0" w:before="0"/>
              <w:jc w:val="center"/>
            </w:pPr>
            <w:r>
              <w:rPr>
                <w:rFonts w:ascii="Arial" w:cs="Arial" w:eastAsia="Arial" w:hAnsi="Arial"/>
                <w:b/>
                <w:bCs/>
                <w:i w:val="false"/>
                <w:iCs w:val="false"/>
                <w:color w:val="922B21"/>
                <w:sz w:val="18"/>
                <w:szCs w:val="18"/>
              </w:rPr>
              <w:t xml:space="preserve">✗</w:t>
            </w:r>
          </w:p>
        </w:tc>
        <w:tc>
          <w:tcPr>
            <w:tcW w:type="dxa" w:w="2000"/>
            <w:tcBorders>
              <w:top w:val="single" w:color="CCCCCC" w:sz="4"/>
              <w:left w:val="single" w:color="CCCCCC" w:sz="4"/>
              <w:bottom w:val="single" w:color="CCCCCC" w:sz="4"/>
              <w:right w:val="single" w:color="CCCCCC" w:sz="4"/>
            </w:tcBorders>
            <w:shd w:fill="F4F6FA" w:val="clear"/>
            <w:tcMar>
              <w:top w:type="dxa" w:w="50"/>
              <w:left w:type="dxa" w:w="60"/>
              <w:bottom w:type="dxa" w:w="50"/>
              <w:right w:type="dxa" w:w="60"/>
            </w:tcMar>
          </w:tcPr>
          <w:p>
            <w:pPr>
              <w:spacing w:after="0" w:before="0"/>
              <w:jc w:val="center"/>
            </w:pPr>
            <w:r>
              <w:rPr>
                <w:rFonts w:ascii="Arial" w:cs="Arial" w:eastAsia="Arial" w:hAnsi="Arial"/>
                <w:b/>
                <w:bCs/>
                <w:i w:val="false"/>
                <w:iCs w:val="false"/>
                <w:color w:val="C9A227"/>
                <w:sz w:val="18"/>
                <w:szCs w:val="18"/>
              </w:rPr>
              <w:t xml:space="preserve">★</w:t>
            </w:r>
          </w:p>
        </w:tc>
      </w:tr>
      <w:tr>
        <w:tc>
          <w:tcPr>
            <w:tcW w:type="dxa" w:w="5360"/>
            <w:tcBorders>
              <w:top w:val="single" w:color="CCCCCC" w:sz="4"/>
              <w:left w:val="single" w:color="CCCCCC" w:sz="4"/>
              <w:bottom w:val="single" w:color="CCCCCC" w:sz="4"/>
              <w:right w:val="single" w:color="CCCCCC" w:sz="4"/>
            </w:tcBorders>
            <w:shd w:fill="FFFFFF" w:val="clear"/>
            <w:tcMar>
              <w:top w:type="dxa" w:w="50"/>
              <w:left w:type="dxa" w:w="100"/>
              <w:bottom w:type="dxa" w:w="50"/>
              <w:right w:type="dxa" w:w="100"/>
            </w:tcMar>
          </w:tcPr>
          <w:p>
            <w:pPr>
              <w:spacing w:after="0" w:before="0"/>
            </w:pPr>
            <w:r>
              <w:rPr>
                <w:rFonts w:ascii="Arial" w:cs="Arial" w:eastAsia="Arial" w:hAnsi="Arial"/>
                <w:b w:val="false"/>
                <w:bCs w:val="false"/>
                <w:i w:val="false"/>
                <w:iCs w:val="false"/>
                <w:color w:val="1A1A1A"/>
                <w:sz w:val="17"/>
                <w:szCs w:val="17"/>
              </w:rPr>
              <w:t xml:space="preserve">Plans appropriate follow-up and provides written resources</w:t>
            </w:r>
          </w:p>
        </w:tc>
        <w:tc>
          <w:tcPr>
            <w:tcW w:type="dxa" w:w="1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922B21"/>
                <w:sz w:val="18"/>
                <w:szCs w:val="18"/>
              </w:rPr>
              <w:t xml:space="preserve">✗</w:t>
            </w:r>
          </w:p>
        </w:tc>
        <w:tc>
          <w:tcPr>
            <w:tcW w:type="dxa" w:w="1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922B21"/>
                <w:sz w:val="18"/>
                <w:szCs w:val="18"/>
              </w:rPr>
              <w:t xml:space="preserve">✗</w:t>
            </w:r>
          </w:p>
        </w:tc>
        <w:tc>
          <w:tcPr>
            <w:tcW w:type="dxa" w:w="2000"/>
            <w:tcBorders>
              <w:top w:val="single" w:color="CCCCCC" w:sz="4"/>
              <w:left w:val="single" w:color="CCCCCC" w:sz="4"/>
              <w:bottom w:val="single" w:color="CCCCCC" w:sz="4"/>
              <w:right w:val="single" w:color="CCCCCC" w:sz="4"/>
            </w:tcBorders>
            <w:shd w:fill="FFFFFF" w:val="clear"/>
            <w:tcMar>
              <w:top w:type="dxa" w:w="50"/>
              <w:left w:type="dxa" w:w="60"/>
              <w:bottom w:type="dxa" w:w="50"/>
              <w:right w:type="dxa" w:w="60"/>
            </w:tcMar>
          </w:tcPr>
          <w:p>
            <w:pPr>
              <w:spacing w:after="0" w:before="0"/>
              <w:jc w:val="center"/>
            </w:pPr>
            <w:r>
              <w:rPr>
                <w:rFonts w:ascii="Arial" w:cs="Arial" w:eastAsia="Arial" w:hAnsi="Arial"/>
                <w:b/>
                <w:bCs/>
                <w:i w:val="false"/>
                <w:iCs w:val="false"/>
                <w:color w:val="C9A227"/>
                <w:sz w:val="18"/>
                <w:szCs w:val="18"/>
              </w:rPr>
              <w:t xml:space="preserve">★</w:t>
            </w:r>
          </w:p>
        </w:tc>
      </w:tr>
    </w:tbl>
    <w:p>
      <w:pPr>
        <w:pStyle w:val="Heading2"/>
        <w:spacing w:after="100" w:before="200"/>
      </w:pPr>
      <w:r>
        <w:rPr>
          <w:rFonts w:ascii="Arial" w:cs="Arial" w:eastAsia="Arial" w:hAnsi="Arial"/>
          <w:b/>
          <w:bCs/>
          <w:i w:val="false"/>
          <w:iCs w:val="false"/>
          <w:color w:val="1B2A4A"/>
          <w:sz w:val="22"/>
          <w:szCs w:val="22"/>
        </w:rPr>
        <w:t xml:space="preserve">4 · Worked Transcripts</w:t>
      </w:r>
    </w:p>
    <w:p>
      <w:pPr>
        <w:pStyle w:val="Heading3"/>
        <w:spacing w:after="100" w:before="200"/>
      </w:pPr>
      <w:r>
        <w:rPr>
          <w:rFonts w:ascii="Arial" w:cs="Arial" w:eastAsia="Arial" w:hAnsi="Arial"/>
          <w:b/>
          <w:bCs/>
          <w:i w:val="false"/>
          <w:iCs w:val="false"/>
          <w:color w:val="1B2A4A"/>
          <w:sz w:val="22"/>
          <w:szCs w:val="22"/>
        </w:rPr>
        <w:t xml:space="preserve">FAIL</w:t>
      </w:r>
    </w:p>
    <w:p>
      <w:pPr>
        <w:spacing w:after="80" w:before="0"/>
      </w:pPr>
      <w:r>
        <w:rPr>
          <w:rFonts w:ascii="Arial" w:cs="Arial" w:eastAsia="Arial" w:hAnsi="Arial"/>
          <w:b/>
          <w:bCs/>
          <w:i w:val="false"/>
          <w:iCs w:val="false"/>
          <w:color w:val="922B21"/>
          <w:sz w:val="19"/>
          <w:szCs w:val="19"/>
        </w:rPr>
        <w:t xml:space="preserve">CANDIDATE:  </w:t>
      </w:r>
      <w:r>
        <w:rPr>
          <w:rFonts w:ascii="Arial" w:cs="Arial" w:eastAsia="Arial" w:hAnsi="Arial"/>
          <w:b w:val="false"/>
          <w:bCs w:val="false"/>
          <w:i w:val="false"/>
          <w:iCs w:val="false"/>
          <w:color w:val="1A1A1A"/>
          <w:sz w:val="19"/>
          <w:szCs w:val="19"/>
        </w:rPr>
        <w:t xml:space="preserve">You’ve got type 2 diabetes. I’m starting you on metformin, 500mg twice a day. Try to eat better and lose some weight. The nurse will sort your follow-up.</w:t>
      </w:r>
    </w:p>
    <w:p>
      <w:pPr>
        <w:spacing w:after="80" w:before="0"/>
      </w:pPr>
      <w:r>
        <w:rPr>
          <w:rFonts w:ascii="Arial" w:cs="Arial" w:eastAsia="Arial" w:hAnsi="Arial"/>
          <w:b/>
          <w:bCs/>
          <w:i w:val="false"/>
          <w:iCs w:val="false"/>
          <w:color w:val="922B21"/>
          <w:sz w:val="19"/>
          <w:szCs w:val="19"/>
        </w:rPr>
        <w:t xml:space="preserve">PATIENT:  </w:t>
      </w:r>
      <w:r>
        <w:rPr>
          <w:rFonts w:ascii="Arial" w:cs="Arial" w:eastAsia="Arial" w:hAnsi="Arial"/>
          <w:b w:val="false"/>
          <w:bCs w:val="false"/>
          <w:i w:val="false"/>
          <w:iCs w:val="false"/>
          <w:color w:val="1A1A1A"/>
          <w:sz w:val="19"/>
          <w:szCs w:val="19"/>
        </w:rPr>
        <w:t xml:space="preserve">Right… is it serious? My dad lost a toe to it.</w:t>
      </w:r>
    </w:p>
    <w:p>
      <w:pPr>
        <w:spacing w:after="80" w:before="0"/>
      </w:pPr>
      <w:r>
        <w:rPr>
          <w:rFonts w:ascii="Arial" w:cs="Arial" w:eastAsia="Arial" w:hAnsi="Arial"/>
          <w:b/>
          <w:bCs/>
          <w:i w:val="false"/>
          <w:iCs w:val="false"/>
          <w:color w:val="922B21"/>
          <w:sz w:val="19"/>
          <w:szCs w:val="19"/>
        </w:rPr>
        <w:t xml:space="preserve">CANDIDATE:  </w:t>
      </w:r>
      <w:r>
        <w:rPr>
          <w:rFonts w:ascii="Arial" w:cs="Arial" w:eastAsia="Arial" w:hAnsi="Arial"/>
          <w:b w:val="false"/>
          <w:bCs w:val="false"/>
          <w:i w:val="false"/>
          <w:iCs w:val="false"/>
          <w:color w:val="1A1A1A"/>
          <w:sz w:val="19"/>
          <w:szCs w:val="19"/>
        </w:rPr>
        <w:t xml:space="preserve">It’s very common. Just take the tablets and you’ll be fine. Any questions? The receptionist will book you in.</w:t>
      </w:r>
    </w:p>
    <w:p>
      <w:pPr>
        <w:spacing w:after="80" w:before="60"/>
      </w:pPr>
      <w:r>
        <w:rPr>
          <w:rFonts w:ascii="Arial" w:cs="Arial" w:eastAsia="Arial" w:hAnsi="Arial"/>
          <w:b/>
          <w:bCs/>
          <w:i/>
          <w:iCs/>
          <w:color w:val="555555"/>
          <w:sz w:val="18"/>
          <w:szCs w:val="18"/>
        </w:rPr>
        <w:t xml:space="preserve">Examiner note.  </w:t>
      </w:r>
      <w:r>
        <w:rPr>
          <w:rFonts w:ascii="Arial" w:cs="Arial" w:eastAsia="Arial" w:hAnsi="Arial"/>
          <w:b w:val="false"/>
          <w:bCs w:val="false"/>
          <w:i/>
          <w:iCs/>
          <w:color w:val="555555"/>
          <w:sz w:val="18"/>
          <w:szCs w:val="18"/>
        </w:rPr>
        <w:t xml:space="preserve">No acknowledgement of the patient’s shock. The condition is not explained. Lifestyle, complications and why control matters are not covered. No DVLA advice. No teach-back. No safety-net or written information.</w:t>
      </w:r>
    </w:p>
    <w:p>
      <w:pPr>
        <w:spacing w:after="80" w:before="0"/>
      </w:pPr>
      <w:r>
        <w:rPr>
          <w:rFonts w:ascii="Arial" w:cs="Arial" w:eastAsia="Arial" w:hAnsi="Arial"/>
          <w:b/>
          <w:bCs/>
          <w:i w:val="false"/>
          <w:iCs w:val="false"/>
          <w:color w:val="1A1A1A"/>
          <w:sz w:val="18"/>
          <w:szCs w:val="18"/>
        </w:rPr>
        <w:t xml:space="preserve">Summary.  </w:t>
      </w:r>
      <w:r>
        <w:rPr>
          <w:rFonts w:ascii="Arial" w:cs="Arial" w:eastAsia="Arial" w:hAnsi="Arial"/>
          <w:b w:val="false"/>
          <w:bCs w:val="false"/>
          <w:i w:val="false"/>
          <w:iCs w:val="false"/>
          <w:color w:val="1A1A1A"/>
          <w:sz w:val="18"/>
          <w:szCs w:val="18"/>
        </w:rPr>
        <w:t xml:space="preserve">No emotional acknowledgement; condition not explained; complications and DVLA omitted; no teach-back; no safety-net.</w:t>
      </w:r>
    </w:p>
    <w:p>
      <w:pPr>
        <w:pStyle w:val="Heading3"/>
        <w:spacing w:after="100" w:before="200"/>
      </w:pPr>
      <w:r>
        <w:rPr>
          <w:rFonts w:ascii="Arial" w:cs="Arial" w:eastAsia="Arial" w:hAnsi="Arial"/>
          <w:b/>
          <w:bCs/>
          <w:i w:val="false"/>
          <w:iCs w:val="false"/>
          <w:color w:val="1B2A4A"/>
          <w:sz w:val="22"/>
          <w:szCs w:val="22"/>
        </w:rPr>
        <w:t xml:space="preserve">PASS</w:t>
      </w:r>
    </w:p>
    <w:p>
      <w:pPr>
        <w:spacing w:after="80" w:before="0"/>
      </w:pPr>
      <w:r>
        <w:rPr>
          <w:rFonts w:ascii="Arial" w:cs="Arial" w:eastAsia="Arial" w:hAnsi="Arial"/>
          <w:b/>
          <w:bCs/>
          <w:i w:val="false"/>
          <w:iCs w:val="false"/>
          <w:color w:val="1E8449"/>
          <w:sz w:val="19"/>
          <w:szCs w:val="19"/>
        </w:rPr>
        <w:t xml:space="preserve">CANDIDATE:  </w:t>
      </w:r>
      <w:r>
        <w:rPr>
          <w:rFonts w:ascii="Arial" w:cs="Arial" w:eastAsia="Arial" w:hAnsi="Arial"/>
          <w:b w:val="false"/>
          <w:bCs w:val="false"/>
          <w:i w:val="false"/>
          <w:iCs w:val="false"/>
          <w:color w:val="1A1A1A"/>
          <w:sz w:val="19"/>
          <w:szCs w:val="19"/>
        </w:rPr>
        <w:t xml:space="preserve">Mr Henderson, I can see this has come as a shock. Before I explain anything, how are you feeling about the news?</w:t>
      </w:r>
    </w:p>
    <w:p>
      <w:pPr>
        <w:spacing w:after="80" w:before="0"/>
      </w:pPr>
      <w:r>
        <w:rPr>
          <w:rFonts w:ascii="Arial" w:cs="Arial" w:eastAsia="Arial" w:hAnsi="Arial"/>
          <w:b/>
          <w:bCs/>
          <w:i w:val="false"/>
          <w:iCs w:val="false"/>
          <w:color w:val="1E8449"/>
          <w:sz w:val="19"/>
          <w:szCs w:val="19"/>
        </w:rPr>
        <w:t xml:space="preserve">PATIENT:  </w:t>
      </w:r>
      <w:r>
        <w:rPr>
          <w:rFonts w:ascii="Arial" w:cs="Arial" w:eastAsia="Arial" w:hAnsi="Arial"/>
          <w:b w:val="false"/>
          <w:bCs w:val="false"/>
          <w:i w:val="false"/>
          <w:iCs w:val="false"/>
          <w:color w:val="1A1A1A"/>
          <w:sz w:val="19"/>
          <w:szCs w:val="19"/>
        </w:rPr>
        <w:t xml:space="preserve">Honestly, scared. My dad had it badly.</w:t>
      </w:r>
    </w:p>
    <w:p>
      <w:pPr>
        <w:spacing w:after="80" w:before="0"/>
      </w:pPr>
      <w:r>
        <w:rPr>
          <w:rFonts w:ascii="Arial" w:cs="Arial" w:eastAsia="Arial" w:hAnsi="Arial"/>
          <w:b/>
          <w:bCs/>
          <w:i w:val="false"/>
          <w:iCs w:val="false"/>
          <w:color w:val="1E8449"/>
          <w:sz w:val="19"/>
          <w:szCs w:val="19"/>
        </w:rPr>
        <w:t xml:space="preserve">CANDIDATE:  </w:t>
      </w:r>
      <w:r>
        <w:rPr>
          <w:rFonts w:ascii="Arial" w:cs="Arial" w:eastAsia="Arial" w:hAnsi="Arial"/>
          <w:b w:val="false"/>
          <w:bCs w:val="false"/>
          <w:i w:val="false"/>
          <w:iCs w:val="false"/>
          <w:color w:val="1A1A1A"/>
          <w:sz w:val="19"/>
          <w:szCs w:val="19"/>
        </w:rPr>
        <w:t xml:space="preserve">That’s completely understandable, and I’m glad you told me — it helps me explain things in a way that’s useful to you. Type 2 diabetes means your body isn’t using insulin as well as it should, so sugar builds up in the blood. It’s common and it’s manageable — and importantly, it’s very different from what your father may have experienced, because we pick it up and treat it early now.</w:t>
      </w:r>
    </w:p>
    <w:p>
      <w:pPr>
        <w:spacing w:after="80" w:before="0"/>
      </w:pPr>
      <w:r>
        <w:rPr>
          <w:rFonts w:ascii="Arial" w:cs="Arial" w:eastAsia="Arial" w:hAnsi="Arial"/>
          <w:b/>
          <w:bCs/>
          <w:i w:val="false"/>
          <w:iCs w:val="false"/>
          <w:color w:val="1E8449"/>
          <w:sz w:val="19"/>
          <w:szCs w:val="19"/>
        </w:rPr>
        <w:t xml:space="preserve">CANDIDATE:  </w:t>
      </w:r>
      <w:r>
        <w:rPr>
          <w:rFonts w:ascii="Arial" w:cs="Arial" w:eastAsia="Arial" w:hAnsi="Arial"/>
          <w:b w:val="false"/>
          <w:bCs w:val="false"/>
          <w:i w:val="false"/>
          <w:iCs w:val="false"/>
          <w:color w:val="1A1A1A"/>
          <w:sz w:val="19"/>
          <w:szCs w:val="19"/>
        </w:rPr>
        <w:t xml:space="preserve">The most powerful thing we can do first is lifestyle — cutting down refined carbohydrates and sugary food, and building up activity towards about 150 minutes a week. In some people, that alone can push the diabetes into remission. Alongside that I’d start a tablet called metformin, 500mg twice daily with food, which we increase slowly.</w:t>
      </w:r>
    </w:p>
    <w:p>
      <w:pPr>
        <w:spacing w:after="80" w:before="0"/>
      </w:pPr>
      <w:r>
        <w:rPr>
          <w:rFonts w:ascii="Arial" w:cs="Arial" w:eastAsia="Arial" w:hAnsi="Arial"/>
          <w:b/>
          <w:bCs/>
          <w:i w:val="false"/>
          <w:iCs w:val="false"/>
          <w:color w:val="1E8449"/>
          <w:sz w:val="19"/>
          <w:szCs w:val="19"/>
        </w:rPr>
        <w:t xml:space="preserve">CANDIDATE:  </w:t>
      </w:r>
      <w:r>
        <w:rPr>
          <w:rFonts w:ascii="Arial" w:cs="Arial" w:eastAsia="Arial" w:hAnsi="Arial"/>
          <w:b w:val="false"/>
          <w:bCs w:val="false"/>
          <w:i w:val="false"/>
          <w:iCs w:val="false"/>
          <w:color w:val="1A1A1A"/>
          <w:sz w:val="19"/>
          <w:szCs w:val="19"/>
        </w:rPr>
        <w:t xml:space="preserve">Good control matters because it protects your eyes, kidneys, nerves and feet, and your heart — which is why we check all of those every year. You won’t need insulin now; most people with type 2 are managed with lifestyle and tablets.</w:t>
      </w:r>
    </w:p>
    <w:p>
      <w:pPr>
        <w:spacing w:after="80" w:before="0"/>
      </w:pPr>
      <w:r>
        <w:rPr>
          <w:rFonts w:ascii="Arial" w:cs="Arial" w:eastAsia="Arial" w:hAnsi="Arial"/>
          <w:b/>
          <w:bCs/>
          <w:i w:val="false"/>
          <w:iCs w:val="false"/>
          <w:color w:val="1E8449"/>
          <w:sz w:val="19"/>
          <w:szCs w:val="19"/>
        </w:rPr>
        <w:t xml:space="preserve">CANDIDATE:  </w:t>
      </w:r>
      <w:r>
        <w:rPr>
          <w:rFonts w:ascii="Arial" w:cs="Arial" w:eastAsia="Arial" w:hAnsi="Arial"/>
          <w:b w:val="false"/>
          <w:bCs w:val="false"/>
          <w:i w:val="false"/>
          <w:iCs w:val="false"/>
          <w:color w:val="1A1A1A"/>
          <w:sz w:val="19"/>
          <w:szCs w:val="19"/>
        </w:rPr>
        <w:t xml:space="preserve">Can I check I’ve explained that clearly — what would you say the first step is for you?</w:t>
      </w:r>
    </w:p>
    <w:p>
      <w:pPr>
        <w:spacing w:after="80" w:before="0"/>
      </w:pPr>
      <w:r>
        <w:rPr>
          <w:rFonts w:ascii="Arial" w:cs="Arial" w:eastAsia="Arial" w:hAnsi="Arial"/>
          <w:b/>
          <w:bCs/>
          <w:i w:val="false"/>
          <w:iCs w:val="false"/>
          <w:color w:val="1E8449"/>
          <w:sz w:val="19"/>
          <w:szCs w:val="19"/>
        </w:rPr>
        <w:t xml:space="preserve">PATIENT:  </w:t>
      </w:r>
      <w:r>
        <w:rPr>
          <w:rFonts w:ascii="Arial" w:cs="Arial" w:eastAsia="Arial" w:hAnsi="Arial"/>
          <w:b w:val="false"/>
          <w:bCs w:val="false"/>
          <w:i w:val="false"/>
          <w:iCs w:val="false"/>
          <w:color w:val="1A1A1A"/>
          <w:sz w:val="19"/>
          <w:szCs w:val="19"/>
        </w:rPr>
        <w:t xml:space="preserve">Cut the sugar and carbs, get moving, and start the metformin.</w:t>
      </w:r>
    </w:p>
    <w:p>
      <w:pPr>
        <w:spacing w:after="80" w:before="0"/>
      </w:pPr>
      <w:r>
        <w:rPr>
          <w:rFonts w:ascii="Arial" w:cs="Arial" w:eastAsia="Arial" w:hAnsi="Arial"/>
          <w:b/>
          <w:bCs/>
          <w:i w:val="false"/>
          <w:iCs w:val="false"/>
          <w:color w:val="1E8449"/>
          <w:sz w:val="19"/>
          <w:szCs w:val="19"/>
        </w:rPr>
        <w:t xml:space="preserve">CANDIDATE:  </w:t>
      </w:r>
      <w:r>
        <w:rPr>
          <w:rFonts w:ascii="Arial" w:cs="Arial" w:eastAsia="Arial" w:hAnsi="Arial"/>
          <w:b w:val="false"/>
          <w:bCs w:val="false"/>
          <w:i w:val="false"/>
          <w:iCs w:val="false"/>
          <w:color w:val="1A1A1A"/>
          <w:sz w:val="19"/>
          <w:szCs w:val="19"/>
        </w:rPr>
        <w:t xml:space="preserve">Exactly right. If you feel unwell, very thirsty, or notice your vision blurring, contact us.</w:t>
      </w:r>
    </w:p>
    <w:p>
      <w:pPr>
        <w:spacing w:after="80" w:before="60"/>
      </w:pPr>
      <w:r>
        <w:rPr>
          <w:rFonts w:ascii="Arial" w:cs="Arial" w:eastAsia="Arial" w:hAnsi="Arial"/>
          <w:b/>
          <w:bCs/>
          <w:i/>
          <w:iCs/>
          <w:color w:val="555555"/>
          <w:sz w:val="18"/>
          <w:szCs w:val="18"/>
        </w:rPr>
        <w:t xml:space="preserve">Examiner note.  </w:t>
      </w:r>
      <w:r>
        <w:rPr>
          <w:rFonts w:ascii="Arial" w:cs="Arial" w:eastAsia="Arial" w:hAnsi="Arial"/>
          <w:b w:val="false"/>
          <w:bCs w:val="false"/>
          <w:i/>
          <w:iCs/>
          <w:color w:val="555555"/>
          <w:sz w:val="18"/>
          <w:szCs w:val="18"/>
        </w:rPr>
        <w:t xml:space="preserve">Emotional response acknowledged first. Condition explained in plain language. Lifestyle correctly placed before medication. Complications and annual review covered. Insulin question answered. Teach-back and a basic safety-net given.</w:t>
      </w:r>
    </w:p>
    <w:p>
      <w:pPr>
        <w:spacing w:after="80" w:before="0"/>
      </w:pPr>
      <w:r>
        <w:rPr>
          <w:rFonts w:ascii="Arial" w:cs="Arial" w:eastAsia="Arial" w:hAnsi="Arial"/>
          <w:b/>
          <w:bCs/>
          <w:i w:val="false"/>
          <w:iCs w:val="false"/>
          <w:color w:val="1A1A1A"/>
          <w:sz w:val="18"/>
          <w:szCs w:val="18"/>
        </w:rPr>
        <w:t xml:space="preserve">Summary.  </w:t>
      </w:r>
      <w:r>
        <w:rPr>
          <w:rFonts w:ascii="Arial" w:cs="Arial" w:eastAsia="Arial" w:hAnsi="Arial"/>
          <w:b w:val="false"/>
          <w:bCs w:val="false"/>
          <w:i w:val="false"/>
          <w:iCs w:val="false"/>
          <w:color w:val="1A1A1A"/>
          <w:sz w:val="18"/>
          <w:szCs w:val="18"/>
        </w:rPr>
        <w:t xml:space="preserve">Emotion acknowledged; plain-language explanation; lifestyle first then metformin; complications; teach-back; safety-net.</w:t>
      </w:r>
    </w:p>
    <w:p>
      <w:pPr>
        <w:spacing w:after="40" w:before="60"/>
      </w:pPr>
      <w:r>
        <w:rPr>
          <w:rFonts w:ascii="Arial" w:cs="Arial" w:eastAsia="Arial" w:hAnsi="Arial"/>
          <w:b/>
          <w:bCs/>
          <w:i w:val="false"/>
          <w:iCs w:val="false"/>
          <w:color w:val="555555"/>
          <w:sz w:val="18"/>
          <w:szCs w:val="18"/>
        </w:rPr>
        <w:t xml:space="preserve">What was missed (kept from a higher tier):</w:t>
      </w:r>
    </w:p>
    <w:p>
      <w:pPr>
        <w:pStyle w:val="ListParagraph"/>
        <w:numPr>
          <w:ilvl w:val="0"/>
          <w:numId w:val="1"/>
        </w:numPr>
        <w:spacing w:after="40"/>
      </w:pPr>
      <w:r>
        <w:rPr>
          <w:rFonts w:ascii="Arial" w:cs="Arial" w:eastAsia="Arial" w:hAnsi="Arial"/>
          <w:b w:val="false"/>
          <w:bCs w:val="false"/>
          <w:i w:val="false"/>
          <w:iCs w:val="false"/>
          <w:color w:val="555555"/>
          <w:sz w:val="18"/>
          <w:szCs w:val="18"/>
        </w:rPr>
        <w:t xml:space="preserve">Did not explicitly give DVLA advice.</w:t>
      </w:r>
    </w:p>
    <w:p>
      <w:pPr>
        <w:pStyle w:val="ListParagraph"/>
        <w:numPr>
          <w:ilvl w:val="0"/>
          <w:numId w:val="1"/>
        </w:numPr>
        <w:spacing w:after="40"/>
      </w:pPr>
      <w:r>
        <w:rPr>
          <w:rFonts w:ascii="Arial" w:cs="Arial" w:eastAsia="Arial" w:hAnsi="Arial"/>
          <w:b w:val="false"/>
          <w:bCs w:val="false"/>
          <w:i w:val="false"/>
          <w:iCs w:val="false"/>
          <w:color w:val="555555"/>
          <w:sz w:val="18"/>
          <w:szCs w:val="18"/>
        </w:rPr>
        <w:t xml:space="preserve">Did not refer to a structured education programme (DESMOND).</w:t>
      </w:r>
    </w:p>
    <w:p>
      <w:pPr>
        <w:pStyle w:val="ListParagraph"/>
        <w:numPr>
          <w:ilvl w:val="0"/>
          <w:numId w:val="1"/>
        </w:numPr>
        <w:spacing w:after="40"/>
      </w:pPr>
      <w:r>
        <w:rPr>
          <w:rFonts w:ascii="Arial" w:cs="Arial" w:eastAsia="Arial" w:hAnsi="Arial"/>
          <w:b w:val="false"/>
          <w:bCs w:val="false"/>
          <w:i w:val="false"/>
          <w:iCs w:val="false"/>
          <w:color w:val="555555"/>
          <w:sz w:val="18"/>
          <w:szCs w:val="18"/>
        </w:rPr>
        <w:t xml:space="preserve">Did not provide written information or a clear follow-up plan.</w:t>
      </w:r>
    </w:p>
    <w:p>
      <w:pPr>
        <w:pStyle w:val="Heading3"/>
        <w:spacing w:after="100" w:before="200"/>
      </w:pPr>
      <w:r>
        <w:rPr>
          <w:rFonts w:ascii="Arial" w:cs="Arial" w:eastAsia="Arial" w:hAnsi="Arial"/>
          <w:b/>
          <w:bCs/>
          <w:i w:val="false"/>
          <w:iCs w:val="false"/>
          <w:color w:val="1B2A4A"/>
          <w:sz w:val="22"/>
          <w:szCs w:val="22"/>
        </w:rPr>
        <w:t xml:space="preserve">DISTINCTION</w:t>
      </w:r>
    </w:p>
    <w:p>
      <w:pPr>
        <w:spacing w:after="80" w:before="0"/>
      </w:pPr>
      <w:r>
        <w:rPr>
          <w:rFonts w:ascii="Arial" w:cs="Arial" w:eastAsia="Arial" w:hAnsi="Arial"/>
          <w:b/>
          <w:bCs/>
          <w:i w:val="false"/>
          <w:iCs w:val="false"/>
          <w:color w:val="C9A227"/>
          <w:sz w:val="19"/>
          <w:szCs w:val="19"/>
        </w:rPr>
        <w:t xml:space="preserve">CANDIDATE:  </w:t>
      </w:r>
      <w:r>
        <w:rPr>
          <w:rFonts w:ascii="Arial" w:cs="Arial" w:eastAsia="Arial" w:hAnsi="Arial"/>
          <w:b w:val="false"/>
          <w:bCs w:val="false"/>
          <w:i w:val="false"/>
          <w:iCs w:val="false"/>
          <w:color w:val="1A1A1A"/>
          <w:sz w:val="19"/>
          <w:szCs w:val="19"/>
        </w:rPr>
        <w:t xml:space="preserve">Mr Henderson, I can see this is a lot to take in. Before I say anything, can I ask — what’s going through your mind right now, and what worries you most?</w:t>
      </w:r>
    </w:p>
    <w:p>
      <w:pPr>
        <w:spacing w:after="80" w:before="0"/>
      </w:pPr>
      <w:r>
        <w:rPr>
          <w:rFonts w:ascii="Arial" w:cs="Arial" w:eastAsia="Arial" w:hAnsi="Arial"/>
          <w:b/>
          <w:bCs/>
          <w:i w:val="false"/>
          <w:iCs w:val="false"/>
          <w:color w:val="C9A227"/>
          <w:sz w:val="19"/>
          <w:szCs w:val="19"/>
        </w:rPr>
        <w:t xml:space="preserve">PATIENT:  </w:t>
      </w:r>
      <w:r>
        <w:rPr>
          <w:rFonts w:ascii="Arial" w:cs="Arial" w:eastAsia="Arial" w:hAnsi="Arial"/>
          <w:b w:val="false"/>
          <w:bCs w:val="false"/>
          <w:i w:val="false"/>
          <w:iCs w:val="false"/>
          <w:color w:val="1A1A1A"/>
          <w:sz w:val="19"/>
          <w:szCs w:val="19"/>
        </w:rPr>
        <w:t xml:space="preserve">My father had diabetes and lost a toe, and ended up on insulin injections. I don’t want that.</w:t>
      </w:r>
    </w:p>
    <w:p>
      <w:pPr>
        <w:spacing w:after="80" w:before="0"/>
      </w:pPr>
      <w:r>
        <w:rPr>
          <w:rFonts w:ascii="Arial" w:cs="Arial" w:eastAsia="Arial" w:hAnsi="Arial"/>
          <w:b/>
          <w:bCs/>
          <w:i w:val="false"/>
          <w:iCs w:val="false"/>
          <w:color w:val="C9A227"/>
          <w:sz w:val="19"/>
          <w:szCs w:val="19"/>
        </w:rPr>
        <w:t xml:space="preserve">CANDIDATE:  </w:t>
      </w:r>
      <w:r>
        <w:rPr>
          <w:rFonts w:ascii="Arial" w:cs="Arial" w:eastAsia="Arial" w:hAnsi="Arial"/>
          <w:b w:val="false"/>
          <w:bCs w:val="false"/>
          <w:i w:val="false"/>
          <w:iCs w:val="false"/>
          <w:color w:val="1A1A1A"/>
          <w:sz w:val="19"/>
          <w:szCs w:val="19"/>
        </w:rPr>
        <w:t xml:space="preserve">Thank you for being honest — those are exactly the right things to talk about, and I can reassure you on both. Let me explain what we’ve found and then we’ll agree a plan together.</w:t>
      </w:r>
    </w:p>
    <w:p>
      <w:pPr>
        <w:spacing w:after="80" w:before="0"/>
      </w:pPr>
      <w:r>
        <w:rPr>
          <w:rFonts w:ascii="Arial" w:cs="Arial" w:eastAsia="Arial" w:hAnsi="Arial"/>
          <w:b/>
          <w:bCs/>
          <w:i w:val="false"/>
          <w:iCs w:val="false"/>
          <w:color w:val="C9A227"/>
          <w:sz w:val="19"/>
          <w:szCs w:val="19"/>
        </w:rPr>
        <w:t xml:space="preserve">CANDIDATE:  </w:t>
      </w:r>
      <w:r>
        <w:rPr>
          <w:rFonts w:ascii="Arial" w:cs="Arial" w:eastAsia="Arial" w:hAnsi="Arial"/>
          <w:b w:val="false"/>
          <w:bCs w:val="false"/>
          <w:i w:val="false"/>
          <w:iCs w:val="false"/>
          <w:color w:val="1A1A1A"/>
          <w:sz w:val="19"/>
          <w:szCs w:val="19"/>
        </w:rPr>
        <w:t xml:space="preserve">Your blood test — the HbA1c — measures your average sugar over about three months, and it confirms type 2 diabetes. In type 2, the body becomes resistant to insulin, so glucose builds up. It’s common and, caught at this stage, very manageable. The complications your father had come from years of high sugar — the whole point of what we do now is to prevent them.</w:t>
      </w:r>
    </w:p>
    <w:p>
      <w:pPr>
        <w:spacing w:after="80" w:before="0"/>
      </w:pPr>
      <w:r>
        <w:rPr>
          <w:rFonts w:ascii="Arial" w:cs="Arial" w:eastAsia="Arial" w:hAnsi="Arial"/>
          <w:b/>
          <w:bCs/>
          <w:i w:val="false"/>
          <w:iCs w:val="false"/>
          <w:color w:val="C9A227"/>
          <w:sz w:val="19"/>
          <w:szCs w:val="19"/>
        </w:rPr>
        <w:t xml:space="preserve">CANDIDATE:  </w:t>
      </w:r>
      <w:r>
        <w:rPr>
          <w:rFonts w:ascii="Arial" w:cs="Arial" w:eastAsia="Arial" w:hAnsi="Arial"/>
          <w:b w:val="false"/>
          <w:bCs w:val="false"/>
          <w:i w:val="false"/>
          <w:iCs w:val="false"/>
          <w:color w:val="1A1A1A"/>
          <w:sz w:val="19"/>
          <w:szCs w:val="19"/>
        </w:rPr>
        <w:t xml:space="preserve">The single most effective thing is lifestyle. Reducing refined carbohydrates and sugary drinks, and building up to around 150 minutes of moderate activity a week, can lower your sugar substantially — and there’s good evidence that with significant weight loss, early type 2 can go into remission. I’d also start metformin, 500mg twice daily with food, titrated up slowly to limit stomach upset. To answer your worry directly: you do not need insulin, and most people in your position never do.</w:t>
      </w:r>
    </w:p>
    <w:p>
      <w:pPr>
        <w:spacing w:after="80" w:before="0"/>
      </w:pPr>
      <w:r>
        <w:rPr>
          <w:rFonts w:ascii="Arial" w:cs="Arial" w:eastAsia="Arial" w:hAnsi="Arial"/>
          <w:b/>
          <w:bCs/>
          <w:i w:val="false"/>
          <w:iCs w:val="false"/>
          <w:color w:val="C9A227"/>
          <w:sz w:val="19"/>
          <w:szCs w:val="19"/>
        </w:rPr>
        <w:t xml:space="preserve">CANDIDATE:  </w:t>
      </w:r>
      <w:r>
        <w:rPr>
          <w:rFonts w:ascii="Arial" w:cs="Arial" w:eastAsia="Arial" w:hAnsi="Arial"/>
          <w:b w:val="false"/>
          <w:bCs w:val="false"/>
          <w:i w:val="false"/>
          <w:iCs w:val="false"/>
          <w:color w:val="1A1A1A"/>
          <w:sz w:val="19"/>
          <w:szCs w:val="19"/>
        </w:rPr>
        <w:t xml:space="preserve">We’ll keep a close eye on the things that matter — an annual review of your eyes, kidneys, feet, blood pressure, cholesterol and HbA1c. Our target for your HbA1c is around 48. One practical point: because you’ll be on metformin alone, which doesn’t cause low sugars, you do not need to notify the DVLA — that only applies if you go onto insulin, or a medication that can cause hypos.</w:t>
      </w:r>
    </w:p>
    <w:p>
      <w:pPr>
        <w:spacing w:after="80" w:before="0"/>
      </w:pPr>
      <w:r>
        <w:rPr>
          <w:rFonts w:ascii="Arial" w:cs="Arial" w:eastAsia="Arial" w:hAnsi="Arial"/>
          <w:b/>
          <w:bCs/>
          <w:i w:val="false"/>
          <w:iCs w:val="false"/>
          <w:color w:val="C9A227"/>
          <w:sz w:val="19"/>
          <w:szCs w:val="19"/>
        </w:rPr>
        <w:t xml:space="preserve">CANDIDATE:  </w:t>
      </w:r>
      <w:r>
        <w:rPr>
          <w:rFonts w:ascii="Arial" w:cs="Arial" w:eastAsia="Arial" w:hAnsi="Arial"/>
          <w:b w:val="false"/>
          <w:bCs w:val="false"/>
          <w:i w:val="false"/>
          <w:iCs w:val="false"/>
          <w:color w:val="1A1A1A"/>
          <w:sz w:val="19"/>
          <w:szCs w:val="19"/>
        </w:rPr>
        <w:t xml:space="preserve">I’ll refer you to a programme called DESMOND — a short structured course that helps people manage diabetes well — and give you written information to take home. We’ll review you in a few weeks. Before you go, could you tell me in your own words what you’re going to do first, and what we’re aiming for?</w:t>
      </w:r>
    </w:p>
    <w:p>
      <w:pPr>
        <w:spacing w:after="80" w:before="0"/>
      </w:pPr>
      <w:r>
        <w:rPr>
          <w:rFonts w:ascii="Arial" w:cs="Arial" w:eastAsia="Arial" w:hAnsi="Arial"/>
          <w:b/>
          <w:bCs/>
          <w:i w:val="false"/>
          <w:iCs w:val="false"/>
          <w:color w:val="C9A227"/>
          <w:sz w:val="19"/>
          <w:szCs w:val="19"/>
        </w:rPr>
        <w:t xml:space="preserve">PATIENT:  </w:t>
      </w:r>
      <w:r>
        <w:rPr>
          <w:rFonts w:ascii="Arial" w:cs="Arial" w:eastAsia="Arial" w:hAnsi="Arial"/>
          <w:b w:val="false"/>
          <w:bCs w:val="false"/>
          <w:i w:val="false"/>
          <w:iCs w:val="false"/>
          <w:color w:val="1A1A1A"/>
          <w:sz w:val="19"/>
          <w:szCs w:val="19"/>
        </w:rPr>
        <w:t xml:space="preserve">Cut the carbs and sugar, get active, start metformin with food. We’re aiming to get the HbA1c down to about 48, and I don’t need to tell the DVLA on metformin.</w:t>
      </w:r>
    </w:p>
    <w:p>
      <w:pPr>
        <w:spacing w:after="80" w:before="0"/>
      </w:pPr>
      <w:r>
        <w:rPr>
          <w:rFonts w:ascii="Arial" w:cs="Arial" w:eastAsia="Arial" w:hAnsi="Arial"/>
          <w:b/>
          <w:bCs/>
          <w:i w:val="false"/>
          <w:iCs w:val="false"/>
          <w:color w:val="C9A227"/>
          <w:sz w:val="19"/>
          <w:szCs w:val="19"/>
        </w:rPr>
        <w:t xml:space="preserve">CANDIDATE:  </w:t>
      </w:r>
      <w:r>
        <w:rPr>
          <w:rFonts w:ascii="Arial" w:cs="Arial" w:eastAsia="Arial" w:hAnsi="Arial"/>
          <w:b w:val="false"/>
          <w:bCs w:val="false"/>
          <w:i w:val="false"/>
          <w:iCs w:val="false"/>
          <w:color w:val="1A1A1A"/>
          <w:sz w:val="19"/>
          <w:szCs w:val="19"/>
        </w:rPr>
        <w:t xml:space="preserve">That’s an excellent summary. If you ever feel very unwell, excessively thirsty, drowsy, or your vision blurs, contact us straight away.</w:t>
      </w:r>
    </w:p>
    <w:p>
      <w:pPr>
        <w:spacing w:after="80" w:before="60"/>
      </w:pPr>
      <w:r>
        <w:rPr>
          <w:rFonts w:ascii="Arial" w:cs="Arial" w:eastAsia="Arial" w:hAnsi="Arial"/>
          <w:b/>
          <w:bCs/>
          <w:i/>
          <w:iCs/>
          <w:color w:val="555555"/>
          <w:sz w:val="18"/>
          <w:szCs w:val="18"/>
        </w:rPr>
        <w:t xml:space="preserve">Examiner note.  </w:t>
      </w:r>
      <w:r>
        <w:rPr>
          <w:rFonts w:ascii="Arial" w:cs="Arial" w:eastAsia="Arial" w:hAnsi="Arial"/>
          <w:b w:val="false"/>
          <w:bCs w:val="false"/>
          <w:i/>
          <w:iCs/>
          <w:color w:val="555555"/>
          <w:sz w:val="18"/>
          <w:szCs w:val="18"/>
        </w:rPr>
        <w:t xml:space="preserve">Exemplary. Agenda and specific fears elicited first and answered directly (no insulin; complications are preventable). Diagnosis and HbA1c explained. Lifestyle placed before medication with remission evidence. Annual review and HbA1c target stated. Correct DVLA advice (no notification on metformin alone). DESMOND referral and written information. Teach-back on plan, target and DVLA. Clear safety-net.</w:t>
      </w:r>
    </w:p>
    <w:p>
      <w:pPr>
        <w:spacing w:after="80" w:before="0"/>
      </w:pPr>
      <w:r>
        <w:rPr>
          <w:rFonts w:ascii="Arial" w:cs="Arial" w:eastAsia="Arial" w:hAnsi="Arial"/>
          <w:b/>
          <w:bCs/>
          <w:i w:val="false"/>
          <w:iCs w:val="false"/>
          <w:color w:val="1A1A1A"/>
          <w:sz w:val="18"/>
          <w:szCs w:val="18"/>
        </w:rPr>
        <w:t xml:space="preserve">Summary.  </w:t>
      </w:r>
      <w:r>
        <w:rPr>
          <w:rFonts w:ascii="Arial" w:cs="Arial" w:eastAsia="Arial" w:hAnsi="Arial"/>
          <w:b w:val="false"/>
          <w:bCs w:val="false"/>
          <w:i w:val="false"/>
          <w:iCs w:val="false"/>
          <w:color w:val="1A1A1A"/>
          <w:sz w:val="18"/>
          <w:szCs w:val="18"/>
        </w:rPr>
        <w:t xml:space="preserve">Agenda and fears elicited and answered; HbA1c and diagnosis explained; lifestyle first with remission evidence; annual review and target; correct DVLA advice; DESMOND and written information; teach-back; safety-net.</w:t>
      </w:r>
    </w:p>
    <w:p>
      <w:pPr>
        <w:pStyle w:val="Heading2"/>
        <w:spacing w:after="100" w:before="200"/>
      </w:pPr>
      <w:r>
        <w:rPr>
          <w:rFonts w:ascii="Arial" w:cs="Arial" w:eastAsia="Arial" w:hAnsi="Arial"/>
          <w:b/>
          <w:bCs/>
          <w:i w:val="false"/>
          <w:iCs w:val="false"/>
          <w:color w:val="1B2A4A"/>
          <w:sz w:val="22"/>
          <w:szCs w:val="22"/>
        </w:rPr>
        <w:t xml:space="preserve">5 · Cognition Layer — the AMaC Signature</w:t>
      </w:r>
    </w:p>
    <w:p>
      <w:pPr>
        <w:pStyle w:val="Heading3"/>
        <w:spacing w:after="100" w:before="200"/>
      </w:pPr>
      <w:r>
        <w:rPr>
          <w:rFonts w:ascii="Arial" w:cs="Arial" w:eastAsia="Arial" w:hAnsi="Arial"/>
          <w:b/>
          <w:bCs/>
          <w:i w:val="false"/>
          <w:iCs w:val="false"/>
          <w:color w:val="1B2A4A"/>
          <w:sz w:val="22"/>
          <w:szCs w:val="22"/>
        </w:rPr>
        <w:t xml:space="preserve">Hook</w:t>
      </w:r>
    </w:p>
    <w:p>
      <w:pPr>
        <w:spacing w:after="80" w:before="0"/>
      </w:pPr>
      <w:r>
        <w:rPr>
          <w:rFonts w:ascii="Arial" w:cs="Arial" w:eastAsia="Arial" w:hAnsi="Arial"/>
          <w:b w:val="false"/>
          <w:bCs w:val="false"/>
          <w:i w:val="false"/>
          <w:iCs w:val="false"/>
          <w:color w:val="1A1A1A"/>
          <w:sz w:val="19"/>
          <w:szCs w:val="19"/>
        </w:rPr>
        <w:t xml:space="preserve">A new diabetes diagnosis is not just prescribing metformin. It is delivering life-changing news, addressing fear, and motivating sustainable change. The candidate who jumps to drug names without acknowledging the shock has missed the most important part of the consultation.</w:t>
      </w:r>
    </w:p>
    <w:p>
      <w:pPr>
        <w:pStyle w:val="Heading3"/>
        <w:spacing w:after="100" w:before="200"/>
      </w:pPr>
      <w:r>
        <w:rPr>
          <w:rFonts w:ascii="Arial" w:cs="Arial" w:eastAsia="Arial" w:hAnsi="Arial"/>
          <w:b/>
          <w:bCs/>
          <w:i w:val="false"/>
          <w:iCs w:val="false"/>
          <w:color w:val="1B2A4A"/>
          <w:sz w:val="22"/>
          <w:szCs w:val="22"/>
        </w:rPr>
        <w:t xml:space="preserve">Examiner trap</w:t>
      </w:r>
    </w:p>
    <w:p>
      <w:pPr>
        <w:spacing w:after="80" w:before="0"/>
      </w:pPr>
      <w:r>
        <w:rPr>
          <w:rFonts w:ascii="Arial" w:cs="Arial" w:eastAsia="Arial" w:hAnsi="Arial"/>
          <w:b w:val="false"/>
          <w:bCs w:val="false"/>
          <w:i w:val="false"/>
          <w:iCs w:val="false"/>
          <w:color w:val="1A1A1A"/>
          <w:sz w:val="19"/>
          <w:szCs w:val="19"/>
        </w:rPr>
        <w:t xml:space="preserve">Two traps. First: not covering complications — the patient needs to know why control matters, not just what to do. Second: wrong DVLA advice — tablet-controlled type 2 on metformin alone does not require DVLA notification unless there is hypoglycaemia risk.</w:t>
      </w:r>
    </w:p>
    <w:p>
      <w:pPr>
        <w:pStyle w:val="Heading3"/>
        <w:spacing w:after="100" w:before="200"/>
      </w:pPr>
      <w:r>
        <w:rPr>
          <w:rFonts w:ascii="Arial" w:cs="Arial" w:eastAsia="Arial" w:hAnsi="Arial"/>
          <w:b/>
          <w:bCs/>
          <w:i w:val="false"/>
          <w:iCs w:val="false"/>
          <w:color w:val="1B2A4A"/>
          <w:sz w:val="22"/>
          <w:szCs w:val="22"/>
        </w:rPr>
        <w:t xml:space="preserve">Think · Say · Do</w:t>
      </w:r>
    </w:p>
    <w:p>
      <w:pPr>
        <w:spacing w:after="20" w:before="60"/>
      </w:pPr>
      <w:r>
        <w:rPr>
          <w:rFonts w:ascii="Arial" w:cs="Arial" w:eastAsia="Arial" w:hAnsi="Arial"/>
          <w:b/>
          <w:bCs/>
          <w:i w:val="false"/>
          <w:iCs w:val="false"/>
          <w:color w:val="1B2A4A"/>
          <w:sz w:val="18"/>
          <w:szCs w:val="18"/>
        </w:rPr>
        <w:t xml:space="preserve">Step 1</w:t>
      </w:r>
    </w:p>
    <w:p>
      <w:pPr>
        <w:spacing w:after="20" w:before="0"/>
      </w:pPr>
      <w:r>
        <w:rPr>
          <w:rFonts w:ascii="Arial" w:cs="Arial" w:eastAsia="Arial" w:hAnsi="Arial"/>
          <w:b/>
          <w:bCs/>
          <w:i w:val="false"/>
          <w:iCs w:val="false"/>
          <w:color w:val="1A1A1A"/>
          <w:sz w:val="18"/>
          <w:szCs w:val="18"/>
        </w:rPr>
        <w:t xml:space="preserve">Think:  </w:t>
      </w:r>
      <w:r>
        <w:rPr>
          <w:rFonts w:ascii="Arial" w:cs="Arial" w:eastAsia="Arial" w:hAnsi="Arial"/>
          <w:b w:val="false"/>
          <w:bCs w:val="false"/>
          <w:i w:val="false"/>
          <w:iCs w:val="false"/>
          <w:color w:val="1A1A1A"/>
          <w:sz w:val="18"/>
          <w:szCs w:val="18"/>
        </w:rPr>
        <w:t xml:space="preserve">Acknowledge the shock and elicit the agenda.</w:t>
      </w:r>
    </w:p>
    <w:p>
      <w:pPr>
        <w:spacing w:after="20" w:before="0"/>
      </w:pPr>
      <w:r>
        <w:rPr>
          <w:rFonts w:ascii="Arial" w:cs="Arial" w:eastAsia="Arial" w:hAnsi="Arial"/>
          <w:b/>
          <w:bCs/>
          <w:i w:val="false"/>
          <w:iCs w:val="false"/>
          <w:color w:val="0E7C7B"/>
          <w:sz w:val="18"/>
          <w:szCs w:val="18"/>
        </w:rPr>
        <w:t xml:space="preserve">Say:  </w:t>
      </w:r>
      <w:r>
        <w:rPr>
          <w:rFonts w:ascii="Arial" w:cs="Arial" w:eastAsia="Arial" w:hAnsi="Arial"/>
          <w:b w:val="false"/>
          <w:bCs w:val="false"/>
          <w:i w:val="false"/>
          <w:iCs w:val="false"/>
          <w:color w:val="0E7C7B"/>
          <w:sz w:val="18"/>
          <w:szCs w:val="18"/>
        </w:rPr>
        <w:t xml:space="preserve">“I can see this is a lot to take in — what worries you most?”</w:t>
      </w:r>
    </w:p>
    <w:p>
      <w:pPr>
        <w:spacing w:after="80" w:before="0"/>
      </w:pPr>
      <w:r>
        <w:rPr>
          <w:rFonts w:ascii="Arial" w:cs="Arial" w:eastAsia="Arial" w:hAnsi="Arial"/>
          <w:b/>
          <w:bCs/>
          <w:i w:val="false"/>
          <w:iCs w:val="false"/>
          <w:color w:val="1A1A1A"/>
          <w:sz w:val="18"/>
          <w:szCs w:val="18"/>
        </w:rPr>
        <w:t xml:space="preserve">Do:  </w:t>
      </w:r>
      <w:r>
        <w:rPr>
          <w:rFonts w:ascii="Arial" w:cs="Arial" w:eastAsia="Arial" w:hAnsi="Arial"/>
          <w:b w:val="false"/>
          <w:bCs w:val="false"/>
          <w:i w:val="false"/>
          <w:iCs w:val="false"/>
          <w:color w:val="1A1A1A"/>
          <w:sz w:val="18"/>
          <w:szCs w:val="18"/>
        </w:rPr>
        <w:t xml:space="preserve">Lead with emotion and concerns before information.</w:t>
      </w:r>
    </w:p>
    <w:p>
      <w:pPr>
        <w:spacing w:after="20" w:before="60"/>
      </w:pPr>
      <w:r>
        <w:rPr>
          <w:rFonts w:ascii="Arial" w:cs="Arial" w:eastAsia="Arial" w:hAnsi="Arial"/>
          <w:b/>
          <w:bCs/>
          <w:i w:val="false"/>
          <w:iCs w:val="false"/>
          <w:color w:val="1B2A4A"/>
          <w:sz w:val="18"/>
          <w:szCs w:val="18"/>
        </w:rPr>
        <w:t xml:space="preserve">Step 2</w:t>
      </w:r>
    </w:p>
    <w:p>
      <w:pPr>
        <w:spacing w:after="20" w:before="0"/>
      </w:pPr>
      <w:r>
        <w:rPr>
          <w:rFonts w:ascii="Arial" w:cs="Arial" w:eastAsia="Arial" w:hAnsi="Arial"/>
          <w:b/>
          <w:bCs/>
          <w:i w:val="false"/>
          <w:iCs w:val="false"/>
          <w:color w:val="1A1A1A"/>
          <w:sz w:val="18"/>
          <w:szCs w:val="18"/>
        </w:rPr>
        <w:t xml:space="preserve">Think:  </w:t>
      </w:r>
      <w:r>
        <w:rPr>
          <w:rFonts w:ascii="Arial" w:cs="Arial" w:eastAsia="Arial" w:hAnsi="Arial"/>
          <w:b w:val="false"/>
          <w:bCs w:val="false"/>
          <w:i w:val="false"/>
          <w:iCs w:val="false"/>
          <w:color w:val="1A1A1A"/>
          <w:sz w:val="18"/>
          <w:szCs w:val="18"/>
        </w:rPr>
        <w:t xml:space="preserve">Explain the diagnosis simply.</w:t>
      </w:r>
    </w:p>
    <w:p>
      <w:pPr>
        <w:spacing w:after="20" w:before="0"/>
      </w:pPr>
      <w:r>
        <w:rPr>
          <w:rFonts w:ascii="Arial" w:cs="Arial" w:eastAsia="Arial" w:hAnsi="Arial"/>
          <w:b/>
          <w:bCs/>
          <w:i w:val="false"/>
          <w:iCs w:val="false"/>
          <w:color w:val="0E7C7B"/>
          <w:sz w:val="18"/>
          <w:szCs w:val="18"/>
        </w:rPr>
        <w:t xml:space="preserve">Say:  </w:t>
      </w:r>
      <w:r>
        <w:rPr>
          <w:rFonts w:ascii="Arial" w:cs="Arial" w:eastAsia="Arial" w:hAnsi="Arial"/>
          <w:b w:val="false"/>
          <w:bCs w:val="false"/>
          <w:i w:val="false"/>
          <w:iCs w:val="false"/>
          <w:color w:val="0E7C7B"/>
          <w:sz w:val="18"/>
          <w:szCs w:val="18"/>
        </w:rPr>
        <w:t xml:space="preserve">“Your body isn’t using insulin as well as it should, so sugar builds up. It’s common and manageable.”</w:t>
      </w:r>
    </w:p>
    <w:p>
      <w:pPr>
        <w:spacing w:after="80" w:before="0"/>
      </w:pPr>
      <w:r>
        <w:rPr>
          <w:rFonts w:ascii="Arial" w:cs="Arial" w:eastAsia="Arial" w:hAnsi="Arial"/>
          <w:b/>
          <w:bCs/>
          <w:i w:val="false"/>
          <w:iCs w:val="false"/>
          <w:color w:val="1A1A1A"/>
          <w:sz w:val="18"/>
          <w:szCs w:val="18"/>
        </w:rPr>
        <w:t xml:space="preserve">Do:  </w:t>
      </w:r>
      <w:r>
        <w:rPr>
          <w:rFonts w:ascii="Arial" w:cs="Arial" w:eastAsia="Arial" w:hAnsi="Arial"/>
          <w:b w:val="false"/>
          <w:bCs w:val="false"/>
          <w:i w:val="false"/>
          <w:iCs w:val="false"/>
          <w:color w:val="1A1A1A"/>
          <w:sz w:val="18"/>
          <w:szCs w:val="18"/>
        </w:rPr>
        <w:t xml:space="preserve">Plain language, no jargon.</w:t>
      </w:r>
    </w:p>
    <w:p>
      <w:pPr>
        <w:spacing w:after="20" w:before="60"/>
      </w:pPr>
      <w:r>
        <w:rPr>
          <w:rFonts w:ascii="Arial" w:cs="Arial" w:eastAsia="Arial" w:hAnsi="Arial"/>
          <w:b/>
          <w:bCs/>
          <w:i w:val="false"/>
          <w:iCs w:val="false"/>
          <w:color w:val="1B2A4A"/>
          <w:sz w:val="18"/>
          <w:szCs w:val="18"/>
        </w:rPr>
        <w:t xml:space="preserve">Step 3</w:t>
      </w:r>
    </w:p>
    <w:p>
      <w:pPr>
        <w:spacing w:after="20" w:before="0"/>
      </w:pPr>
      <w:r>
        <w:rPr>
          <w:rFonts w:ascii="Arial" w:cs="Arial" w:eastAsia="Arial" w:hAnsi="Arial"/>
          <w:b/>
          <w:bCs/>
          <w:i w:val="false"/>
          <w:iCs w:val="false"/>
          <w:color w:val="1A1A1A"/>
          <w:sz w:val="18"/>
          <w:szCs w:val="18"/>
        </w:rPr>
        <w:t xml:space="preserve">Think:  </w:t>
      </w:r>
      <w:r>
        <w:rPr>
          <w:rFonts w:ascii="Arial" w:cs="Arial" w:eastAsia="Arial" w:hAnsi="Arial"/>
          <w:b w:val="false"/>
          <w:bCs w:val="false"/>
          <w:i w:val="false"/>
          <w:iCs w:val="false"/>
          <w:color w:val="1A1A1A"/>
          <w:sz w:val="18"/>
          <w:szCs w:val="18"/>
        </w:rPr>
        <w:t xml:space="preserve">Lifestyle first.</w:t>
      </w:r>
    </w:p>
    <w:p>
      <w:pPr>
        <w:spacing w:after="20" w:before="0"/>
      </w:pPr>
      <w:r>
        <w:rPr>
          <w:rFonts w:ascii="Arial" w:cs="Arial" w:eastAsia="Arial" w:hAnsi="Arial"/>
          <w:b/>
          <w:bCs/>
          <w:i w:val="false"/>
          <w:iCs w:val="false"/>
          <w:color w:val="0E7C7B"/>
          <w:sz w:val="18"/>
          <w:szCs w:val="18"/>
        </w:rPr>
        <w:t xml:space="preserve">Say:  </w:t>
      </w:r>
      <w:r>
        <w:rPr>
          <w:rFonts w:ascii="Arial" w:cs="Arial" w:eastAsia="Arial" w:hAnsi="Arial"/>
          <w:b w:val="false"/>
          <w:bCs w:val="false"/>
          <w:i w:val="false"/>
          <w:iCs w:val="false"/>
          <w:color w:val="0E7C7B"/>
          <w:sz w:val="18"/>
          <w:szCs w:val="18"/>
        </w:rPr>
        <w:t xml:space="preserve">“Reducing refined carbs and increasing activity is the most powerful step — it can even put diabetes into remission.”</w:t>
      </w:r>
    </w:p>
    <w:p>
      <w:pPr>
        <w:spacing w:after="80" w:before="0"/>
      </w:pPr>
      <w:r>
        <w:rPr>
          <w:rFonts w:ascii="Arial" w:cs="Arial" w:eastAsia="Arial" w:hAnsi="Arial"/>
          <w:b/>
          <w:bCs/>
          <w:i w:val="false"/>
          <w:iCs w:val="false"/>
          <w:color w:val="1A1A1A"/>
          <w:sz w:val="18"/>
          <w:szCs w:val="18"/>
        </w:rPr>
        <w:t xml:space="preserve">Do:  </w:t>
      </w:r>
      <w:r>
        <w:rPr>
          <w:rFonts w:ascii="Arial" w:cs="Arial" w:eastAsia="Arial" w:hAnsi="Arial"/>
          <w:b w:val="false"/>
          <w:bCs w:val="false"/>
          <w:i w:val="false"/>
          <w:iCs w:val="false"/>
          <w:color w:val="1A1A1A"/>
          <w:sz w:val="18"/>
          <w:szCs w:val="18"/>
        </w:rPr>
        <w:t xml:space="preserve">Place lifestyle before the tablet.</w:t>
      </w:r>
    </w:p>
    <w:p>
      <w:pPr>
        <w:spacing w:after="20" w:before="60"/>
      </w:pPr>
      <w:r>
        <w:rPr>
          <w:rFonts w:ascii="Arial" w:cs="Arial" w:eastAsia="Arial" w:hAnsi="Arial"/>
          <w:b/>
          <w:bCs/>
          <w:i w:val="false"/>
          <w:iCs w:val="false"/>
          <w:color w:val="1B2A4A"/>
          <w:sz w:val="18"/>
          <w:szCs w:val="18"/>
        </w:rPr>
        <w:t xml:space="preserve">Step 4</w:t>
      </w:r>
    </w:p>
    <w:p>
      <w:pPr>
        <w:spacing w:after="20" w:before="0"/>
      </w:pPr>
      <w:r>
        <w:rPr>
          <w:rFonts w:ascii="Arial" w:cs="Arial" w:eastAsia="Arial" w:hAnsi="Arial"/>
          <w:b/>
          <w:bCs/>
          <w:i w:val="false"/>
          <w:iCs w:val="false"/>
          <w:color w:val="1A1A1A"/>
          <w:sz w:val="18"/>
          <w:szCs w:val="18"/>
        </w:rPr>
        <w:t xml:space="preserve">Think:  </w:t>
      </w:r>
      <w:r>
        <w:rPr>
          <w:rFonts w:ascii="Arial" w:cs="Arial" w:eastAsia="Arial" w:hAnsi="Arial"/>
          <w:b w:val="false"/>
          <w:bCs w:val="false"/>
          <w:i w:val="false"/>
          <w:iCs w:val="false"/>
          <w:color w:val="1A1A1A"/>
          <w:sz w:val="18"/>
          <w:szCs w:val="18"/>
        </w:rPr>
        <w:t xml:space="preserve">Metformin and complications.</w:t>
      </w:r>
    </w:p>
    <w:p>
      <w:pPr>
        <w:spacing w:after="20" w:before="0"/>
      </w:pPr>
      <w:r>
        <w:rPr>
          <w:rFonts w:ascii="Arial" w:cs="Arial" w:eastAsia="Arial" w:hAnsi="Arial"/>
          <w:b/>
          <w:bCs/>
          <w:i w:val="false"/>
          <w:iCs w:val="false"/>
          <w:color w:val="0E7C7B"/>
          <w:sz w:val="18"/>
          <w:szCs w:val="18"/>
        </w:rPr>
        <w:t xml:space="preserve">Say:  </w:t>
      </w:r>
      <w:r>
        <w:rPr>
          <w:rFonts w:ascii="Arial" w:cs="Arial" w:eastAsia="Arial" w:hAnsi="Arial"/>
          <w:b w:val="false"/>
          <w:bCs w:val="false"/>
          <w:i w:val="false"/>
          <w:iCs w:val="false"/>
          <w:color w:val="0E7C7B"/>
          <w:sz w:val="18"/>
          <w:szCs w:val="18"/>
        </w:rPr>
        <w:t xml:space="preserve">“Metformin, 500mg twice daily with food. Good control protects eyes, kidneys, feet and heart — we check these yearly.”</w:t>
      </w:r>
    </w:p>
    <w:p>
      <w:pPr>
        <w:spacing w:after="80" w:before="0"/>
      </w:pPr>
      <w:r>
        <w:rPr>
          <w:rFonts w:ascii="Arial" w:cs="Arial" w:eastAsia="Arial" w:hAnsi="Arial"/>
          <w:b/>
          <w:bCs/>
          <w:i w:val="false"/>
          <w:iCs w:val="false"/>
          <w:color w:val="1A1A1A"/>
          <w:sz w:val="18"/>
          <w:szCs w:val="18"/>
        </w:rPr>
        <w:t xml:space="preserve">Do:  </w:t>
      </w:r>
      <w:r>
        <w:rPr>
          <w:rFonts w:ascii="Arial" w:cs="Arial" w:eastAsia="Arial" w:hAnsi="Arial"/>
          <w:b w:val="false"/>
          <w:bCs w:val="false"/>
          <w:i w:val="false"/>
          <w:iCs w:val="false"/>
          <w:color w:val="1A1A1A"/>
          <w:sz w:val="18"/>
          <w:szCs w:val="18"/>
        </w:rPr>
        <w:t xml:space="preserve">State the dose; link control to complications.</w:t>
      </w:r>
    </w:p>
    <w:p>
      <w:pPr>
        <w:spacing w:after="20" w:before="60"/>
      </w:pPr>
      <w:r>
        <w:rPr>
          <w:rFonts w:ascii="Arial" w:cs="Arial" w:eastAsia="Arial" w:hAnsi="Arial"/>
          <w:b/>
          <w:bCs/>
          <w:i w:val="false"/>
          <w:iCs w:val="false"/>
          <w:color w:val="1B2A4A"/>
          <w:sz w:val="18"/>
          <w:szCs w:val="18"/>
        </w:rPr>
        <w:t xml:space="preserve">Step 5</w:t>
      </w:r>
    </w:p>
    <w:p>
      <w:pPr>
        <w:spacing w:after="20" w:before="0"/>
      </w:pPr>
      <w:r>
        <w:rPr>
          <w:rFonts w:ascii="Arial" w:cs="Arial" w:eastAsia="Arial" w:hAnsi="Arial"/>
          <w:b/>
          <w:bCs/>
          <w:i w:val="false"/>
          <w:iCs w:val="false"/>
          <w:color w:val="1A1A1A"/>
          <w:sz w:val="18"/>
          <w:szCs w:val="18"/>
        </w:rPr>
        <w:t xml:space="preserve">Think:  </w:t>
      </w:r>
      <w:r>
        <w:rPr>
          <w:rFonts w:ascii="Arial" w:cs="Arial" w:eastAsia="Arial" w:hAnsi="Arial"/>
          <w:b w:val="false"/>
          <w:bCs w:val="false"/>
          <w:i w:val="false"/>
          <w:iCs w:val="false"/>
          <w:color w:val="1A1A1A"/>
          <w:sz w:val="18"/>
          <w:szCs w:val="18"/>
        </w:rPr>
        <w:t xml:space="preserve">DVLA and education.</w:t>
      </w:r>
    </w:p>
    <w:p>
      <w:pPr>
        <w:spacing w:after="20" w:before="0"/>
      </w:pPr>
      <w:r>
        <w:rPr>
          <w:rFonts w:ascii="Arial" w:cs="Arial" w:eastAsia="Arial" w:hAnsi="Arial"/>
          <w:b/>
          <w:bCs/>
          <w:i w:val="false"/>
          <w:iCs w:val="false"/>
          <w:color w:val="0E7C7B"/>
          <w:sz w:val="18"/>
          <w:szCs w:val="18"/>
        </w:rPr>
        <w:t xml:space="preserve">Say:  </w:t>
      </w:r>
      <w:r>
        <w:rPr>
          <w:rFonts w:ascii="Arial" w:cs="Arial" w:eastAsia="Arial" w:hAnsi="Arial"/>
          <w:b w:val="false"/>
          <w:bCs w:val="false"/>
          <w:i w:val="false"/>
          <w:iCs w:val="false"/>
          <w:color w:val="0E7C7B"/>
          <w:sz w:val="18"/>
          <w:szCs w:val="18"/>
        </w:rPr>
        <w:t xml:space="preserve">“On metformin alone you don’t need to tell the DVLA. I’ll refer you to DESMOND.”</w:t>
      </w:r>
    </w:p>
    <w:p>
      <w:pPr>
        <w:spacing w:after="80" w:before="0"/>
      </w:pPr>
      <w:r>
        <w:rPr>
          <w:rFonts w:ascii="Arial" w:cs="Arial" w:eastAsia="Arial" w:hAnsi="Arial"/>
          <w:b/>
          <w:bCs/>
          <w:i w:val="false"/>
          <w:iCs w:val="false"/>
          <w:color w:val="1A1A1A"/>
          <w:sz w:val="18"/>
          <w:szCs w:val="18"/>
        </w:rPr>
        <w:t xml:space="preserve">Do:  </w:t>
      </w:r>
      <w:r>
        <w:rPr>
          <w:rFonts w:ascii="Arial" w:cs="Arial" w:eastAsia="Arial" w:hAnsi="Arial"/>
          <w:b w:val="false"/>
          <w:bCs w:val="false"/>
          <w:i w:val="false"/>
          <w:iCs w:val="false"/>
          <w:color w:val="1A1A1A"/>
          <w:sz w:val="18"/>
          <w:szCs w:val="18"/>
        </w:rPr>
        <w:t xml:space="preserve">Give correct DVLA advice; refer to structured education.</w:t>
      </w:r>
    </w:p>
    <w:p>
      <w:pPr>
        <w:pStyle w:val="Heading3"/>
        <w:spacing w:after="100" w:before="200"/>
      </w:pPr>
      <w:r>
        <w:rPr>
          <w:rFonts w:ascii="Arial" w:cs="Arial" w:eastAsia="Arial" w:hAnsi="Arial"/>
          <w:b/>
          <w:bCs/>
          <w:i w:val="false"/>
          <w:iCs w:val="false"/>
          <w:color w:val="1B2A4A"/>
          <w:sz w:val="22"/>
          <w:szCs w:val="22"/>
        </w:rPr>
        <w:t xml:space="preserve">Mark triggers</w:t>
      </w:r>
    </w:p>
    <w:p>
      <w:pPr>
        <w:pStyle w:val="ListParagraph"/>
        <w:numPr>
          <w:ilvl w:val="0"/>
          <w:numId w:val="1"/>
        </w:numPr>
        <w:spacing w:after="40"/>
      </w:pPr>
      <w:r>
        <w:rPr>
          <w:rFonts w:ascii="Arial" w:cs="Arial" w:eastAsia="Arial" w:hAnsi="Arial"/>
          <w:b w:val="false"/>
          <w:bCs w:val="false"/>
          <w:i w:val="false"/>
          <w:iCs w:val="false"/>
          <w:color w:val="1A1A1A"/>
          <w:sz w:val="18"/>
          <w:szCs w:val="18"/>
        </w:rPr>
        <w:t xml:space="preserve">Acknowledges the emotional response before information</w:t>
      </w:r>
    </w:p>
    <w:p>
      <w:pPr>
        <w:pStyle w:val="ListParagraph"/>
        <w:numPr>
          <w:ilvl w:val="0"/>
          <w:numId w:val="1"/>
        </w:numPr>
        <w:spacing w:after="40"/>
      </w:pPr>
      <w:r>
        <w:rPr>
          <w:rFonts w:ascii="Arial" w:cs="Arial" w:eastAsia="Arial" w:hAnsi="Arial"/>
          <w:b w:val="false"/>
          <w:bCs w:val="false"/>
          <w:i w:val="false"/>
          <w:iCs w:val="false"/>
          <w:color w:val="1A1A1A"/>
          <w:sz w:val="18"/>
          <w:szCs w:val="18"/>
        </w:rPr>
        <w:t xml:space="preserve">Explains the mechanism in plain language</w:t>
      </w:r>
    </w:p>
    <w:p>
      <w:pPr>
        <w:pStyle w:val="ListParagraph"/>
        <w:numPr>
          <w:ilvl w:val="0"/>
          <w:numId w:val="1"/>
        </w:numPr>
        <w:spacing w:after="40"/>
      </w:pPr>
      <w:r>
        <w:rPr>
          <w:rFonts w:ascii="Arial" w:cs="Arial" w:eastAsia="Arial" w:hAnsi="Arial"/>
          <w:b w:val="false"/>
          <w:bCs w:val="false"/>
          <w:i w:val="false"/>
          <w:iCs w:val="false"/>
          <w:color w:val="1A1A1A"/>
          <w:sz w:val="18"/>
          <w:szCs w:val="18"/>
        </w:rPr>
        <w:t xml:space="preserve">Places lifestyle modification first</w:t>
      </w:r>
    </w:p>
    <w:p>
      <w:pPr>
        <w:pStyle w:val="ListParagraph"/>
        <w:numPr>
          <w:ilvl w:val="0"/>
          <w:numId w:val="1"/>
        </w:numPr>
        <w:spacing w:after="40"/>
      </w:pPr>
      <w:r>
        <w:rPr>
          <w:rFonts w:ascii="Arial" w:cs="Arial" w:eastAsia="Arial" w:hAnsi="Arial"/>
          <w:b w:val="false"/>
          <w:bCs w:val="false"/>
          <w:i w:val="false"/>
          <w:iCs w:val="false"/>
          <w:color w:val="1A1A1A"/>
          <w:sz w:val="18"/>
          <w:szCs w:val="18"/>
        </w:rPr>
        <w:t xml:space="preserve">Prescribes metformin 500mg BD with food</w:t>
      </w:r>
    </w:p>
    <w:p>
      <w:pPr>
        <w:pStyle w:val="ListParagraph"/>
        <w:numPr>
          <w:ilvl w:val="0"/>
          <w:numId w:val="1"/>
        </w:numPr>
        <w:spacing w:after="40"/>
      </w:pPr>
      <w:r>
        <w:rPr>
          <w:rFonts w:ascii="Arial" w:cs="Arial" w:eastAsia="Arial" w:hAnsi="Arial"/>
          <w:b w:val="false"/>
          <w:bCs w:val="false"/>
          <w:i w:val="false"/>
          <w:iCs w:val="false"/>
          <w:color w:val="1A1A1A"/>
          <w:sz w:val="18"/>
          <w:szCs w:val="18"/>
        </w:rPr>
        <w:t xml:space="preserve">Covers annual review and complications</w:t>
      </w:r>
    </w:p>
    <w:p>
      <w:pPr>
        <w:pStyle w:val="ListParagraph"/>
        <w:numPr>
          <w:ilvl w:val="0"/>
          <w:numId w:val="1"/>
        </w:numPr>
        <w:spacing w:after="40"/>
      </w:pPr>
      <w:r>
        <w:rPr>
          <w:rFonts w:ascii="Arial" w:cs="Arial" w:eastAsia="Arial" w:hAnsi="Arial"/>
          <w:b w:val="false"/>
          <w:bCs w:val="false"/>
          <w:i w:val="false"/>
          <w:iCs w:val="false"/>
          <w:color w:val="1A1A1A"/>
          <w:sz w:val="18"/>
          <w:szCs w:val="18"/>
        </w:rPr>
        <w:t xml:space="preserve">Gives correct DVLA advice</w:t>
      </w:r>
    </w:p>
    <w:p>
      <w:pPr>
        <w:pStyle w:val="ListParagraph"/>
        <w:numPr>
          <w:ilvl w:val="0"/>
          <w:numId w:val="1"/>
        </w:numPr>
        <w:spacing w:after="40"/>
      </w:pPr>
      <w:r>
        <w:rPr>
          <w:rFonts w:ascii="Arial" w:cs="Arial" w:eastAsia="Arial" w:hAnsi="Arial"/>
          <w:b w:val="false"/>
          <w:bCs w:val="false"/>
          <w:i w:val="false"/>
          <w:iCs w:val="false"/>
          <w:color w:val="1A1A1A"/>
          <w:sz w:val="18"/>
          <w:szCs w:val="18"/>
        </w:rPr>
        <w:t xml:space="preserve">Refers to a structured education programme (DESMOND)</w:t>
      </w:r>
    </w:p>
    <w:p>
      <w:pPr>
        <w:pStyle w:val="ListParagraph"/>
        <w:numPr>
          <w:ilvl w:val="0"/>
          <w:numId w:val="1"/>
        </w:numPr>
        <w:spacing w:after="40"/>
      </w:pPr>
      <w:r>
        <w:rPr>
          <w:rFonts w:ascii="Arial" w:cs="Arial" w:eastAsia="Arial" w:hAnsi="Arial"/>
          <w:b w:val="false"/>
          <w:bCs w:val="false"/>
          <w:i w:val="false"/>
          <w:iCs w:val="false"/>
          <w:color w:val="1A1A1A"/>
          <w:sz w:val="18"/>
          <w:szCs w:val="18"/>
        </w:rPr>
        <w:t xml:space="preserve">Uses teach-back before closing</w:t>
      </w:r>
    </w:p>
    <w:p>
      <w:pPr>
        <w:pStyle w:val="Heading2"/>
        <w:spacing w:after="100" w:before="200"/>
      </w:pPr>
      <w:r>
        <w:rPr>
          <w:rFonts w:ascii="Arial" w:cs="Arial" w:eastAsia="Arial" w:hAnsi="Arial"/>
          <w:b/>
          <w:bCs/>
          <w:i w:val="false"/>
          <w:iCs w:val="false"/>
          <w:color w:val="1B2A4A"/>
          <w:sz w:val="22"/>
          <w:szCs w:val="22"/>
        </w:rPr>
        <w:t xml:space="preserve">Sign-off</w:t>
      </w:r>
    </w:p>
    <w:p>
      <w:pPr>
        <w:spacing w:after="30" w:before="0"/>
      </w:pPr>
      <w:r>
        <w:rPr>
          <w:rFonts w:ascii="Arial" w:cs="Arial" w:eastAsia="Arial" w:hAnsi="Arial"/>
          <w:b/>
          <w:bCs/>
          <w:i w:val="false"/>
          <w:iCs w:val="false"/>
          <w:color w:val="1A1A1A"/>
          <w:sz w:val="18"/>
          <w:szCs w:val="18"/>
        </w:rPr>
        <w:t xml:space="preserve">Status: </w:t>
      </w:r>
      <w:r>
        <w:rPr>
          <w:rFonts w:ascii="Arial" w:cs="Arial" w:eastAsia="Arial" w:hAnsi="Arial"/>
          <w:b w:val="false"/>
          <w:bCs w:val="false"/>
          <w:i w:val="false"/>
          <w:iCs w:val="false"/>
          <w:color w:val="922B21"/>
          <w:sz w:val="18"/>
          <w:szCs w:val="18"/>
        </w:rPr>
        <w:t xml:space="preserve">Clinically reviewed and signed off by the AMaC clinical team. Cleared for publication.</w:t>
      </w:r>
    </w:p>
    <w:p>
      <w:pPr>
        <w:spacing w:after="30" w:before="0"/>
      </w:pPr>
      <w:r>
        <w:rPr>
          <w:rFonts w:ascii="Arial" w:cs="Arial" w:eastAsia="Arial" w:hAnsi="Arial"/>
          <w:b w:val="false"/>
          <w:bCs w:val="false"/>
          <w:i w:val="false"/>
          <w:iCs w:val="false"/>
          <w:color w:val="555555"/>
          <w:sz w:val="18"/>
          <w:szCs w:val="18"/>
        </w:rPr>
        <w:t xml:space="preserve">Reviewer: ______________________________     Date: ______________</w:t>
      </w:r>
    </w:p>
    <w:p>
      <w:pPr>
        <w:spacing w:after="80" w:before="0"/>
      </w:pPr>
      <w:r>
        <w:rPr>
          <w:rFonts w:ascii="Arial" w:cs="Arial" w:eastAsia="Arial" w:hAnsi="Arial"/>
          <w:b w:val="false"/>
          <w:bCs w:val="false"/>
          <w:i w:val="false"/>
          <w:iCs w:val="false"/>
          <w:color w:val="555555"/>
          <w:sz w:val="18"/>
          <w:szCs w:val="18"/>
        </w:rPr>
        <w:t xml:space="preserve">Notes:</w:t>
      </w:r>
    </w:p>
    <w:p>
      <w:pPr>
        <w:spacing w:after="80" w:before="120"/>
      </w:pPr>
      <w:r>
        <w:rPr>
          <w:rFonts w:ascii="Arial" w:cs="Arial" w:eastAsia="Arial" w:hAnsi="Arial"/>
          <w:b w:val="false"/>
          <w:bCs w:val="false"/>
          <w:i/>
          <w:iCs/>
          <w:color w:val="555555"/>
          <w:sz w:val="16"/>
          <w:szCs w:val="16"/>
        </w:rPr>
        <w:t xml:space="preserve">End of Station COMM-22</w:t>
      </w:r>
    </w:p>
    <w:sectPr>
      <w:pgSz w:w="12240" w:h="15840" w:orient="portrait"/>
      <w:pgMar w:top="1080" w:right="1320" w:bottom="108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00"/>
      <w:outlineLvl w:val="1"/>
    </w:pPr>
    <w:rPr>
      <w:rFonts w:ascii="Arial" w:cs="Arial" w:eastAsia="Arial" w:hAnsi="Arial"/>
      <w:b/>
      <w:bCs/>
      <w:color w:val="1B2A4A"/>
      <w:sz w:val="22"/>
      <w:szCs w:val="22"/>
    </w:rPr>
  </w:style>
  <w:style w:type="paragraph" w:styleId="Heading3">
    <w:name w:val="Heading 3"/>
    <w:basedOn w:val="Normal"/>
    <w:next w:val="Normal"/>
    <w:qFormat/>
    <w:pPr>
      <w:spacing w:after="80" w:before="160"/>
      <w:outlineLvl w:val="2"/>
    </w:pPr>
    <w:rPr>
      <w:rFonts w:ascii="Arial" w:cs="Arial" w:eastAsia="Arial" w:hAnsi="Arial"/>
      <w:b/>
      <w:bCs/>
      <w:color w:val="1B2A4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2026-06-25T09:37:45.240Z</dcterms:created>
  <dcterms:modified xsi:type="dcterms:W3CDTF">2026-06-25T09:37:45.253Z</dcterms:modified>
</cp:coreProperties>
</file>

<file path=docProps/custom.xml><?xml version="1.0" encoding="utf-8"?>
<Properties xmlns="http://schemas.openxmlformats.org/officeDocument/2006/custom-properties" xmlns:vt="http://schemas.openxmlformats.org/officeDocument/2006/docPropsVTypes"/>
</file>