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(14)unset($data['id']);移除数组中某个key值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color w:val="843C0B" w:themeColor="accent2" w:themeShade="8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color w:val="843C0B" w:themeColor="accent2" w:themeShade="80"/>
          <w:kern w:val="44"/>
          <w:sz w:val="24"/>
          <w:szCs w:val="24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color w:val="FF0000"/>
          <w:sz w:val="24"/>
          <w:szCs w:val="24"/>
          <w:shd w:val="clear" w:color="auto" w:fill="auto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$refect-&gt;newInstanceArgs(array)--向构造函数传参实例化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（2）获取某对象的的类名:get_class();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1.16 PHP回调函数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1.17 PPH魔术方法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(1)_call();--调用不存在的方法时调用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(2)_callStatic()--调用不存在的静态方法时调用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  <w:t>3.9.Laravel分页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(1)model-&gt;skip(size)-&gt;take(size)-&gt;get();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(2)model-&gt;offset()-&gt;limit()-&gt;get();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02952D4"/>
    <w:rsid w:val="008F433C"/>
    <w:rsid w:val="03833B97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5F6A4F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2019-01-15T09:37:10Z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