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left"/>
      </w:pPr>
      <w:r>
        <w:rPr>
          <w:rFonts w:ascii="PingFang SC" w:hAnsi="PingFang SC" w:cs="PingFang SC" w:eastAsia="苹方-简"/>
          <w:b/>
          <w:color w:val="1F3864"/>
          <w:sz w:val="44"/>
        </w:rPr>
        <w:t>赛事运营数字化 · 行业分析（2026）</w:t>
      </w:r>
    </w:p>
    <w:p>
      <w:pPr>
        <w:spacing w:after="40"/>
      </w:pPr>
      <w:r>
        <w:rPr>
          <w:rFonts w:ascii="PingFang SC" w:hAnsi="PingFang SC" w:cs="PingFang SC" w:eastAsia="苹方-简"/>
          <w:b/>
          <w:color w:val="2E5496"/>
          <w:sz w:val="26"/>
        </w:rPr>
        <w:t>志愿者排班与交接场景</w:t>
      </w:r>
    </w:p>
    <w:p>
      <w:pPr>
        <w:pBdr>
          <w:bottom w:val="single" w:sz="10" w:space="6" w:color="1F3864"/>
        </w:pBdr>
        <w:spacing w:after="200"/>
      </w:pPr>
      <w:r>
        <w:rPr>
          <w:rFonts w:ascii="PingFang SC" w:hAnsi="PingFang SC" w:cs="PingFang SC" w:eastAsia="苹方-简"/>
          <w:color w:val="767676"/>
          <w:sz w:val="18"/>
        </w:rPr>
        <w:t>公开信息整理 · 版本 v1.0 · 2026-10-23</w:t>
      </w:r>
    </w:p>
    <w:p>
      <w:pPr>
        <w:pBdr>
          <w:left w:val="single" w:sz="18" w:space="8" w:color="1F3864"/>
        </w:pBdr>
        <w:spacing w:before="40" w:after="200" w:line="312" w:lineRule="auto"/>
        <w:ind w:left="113" w:right="113"/>
      </w:pPr>
      <w:r>
        <w:rPr>
          <w:rFonts w:ascii="PingFang SC" w:hAnsi="PingFang SC" w:cs="PingFang SC" w:eastAsia="苹方-简"/>
          <w:i w:val="0"/>
          <w:color w:val="595959"/>
          <w:sz w:val="18"/>
        </w:rPr>
        <w:t>阅读说明：本报告是对公开信息的整理与场景分析，不是统计口径。文中统计数据一律标注来源编号，未取得可核验数值的地方明确写“待核实”，不用估算值代替统计值；涉及本项目的价格与工时均为 QUOTATION.md 的示例口径，不代表真实商务承诺。</w:t>
      </w:r>
    </w:p>
    <w:p>
      <w:pPr>
        <w:pStyle w:val="Heading1"/>
        <w:pBdr>
          <w:bottom w:val="single" w:sz="6" w:space="3" w:color="C9D3E0"/>
        </w:pBdr>
      </w:pPr>
      <w:r>
        <w:rPr>
          <w:rFonts w:ascii="PingFang SC" w:hAnsi="PingFang SC" w:cs="PingFang SC" w:eastAsia="苹方-简"/>
          <w:b/>
          <w:color w:val="1F3864"/>
          <w:sz w:val="30"/>
        </w:rPr>
        <w:t>1  摘要</w:t>
      </w:r>
    </w:p>
    <w:p>
      <w:pPr>
        <w:pStyle w:val="ListBullet"/>
        <w:spacing w:before="0" w:after="80" w:line="336" w:lineRule="auto"/>
        <w:ind w:left="482" w:hanging="255"/>
      </w:pPr>
      <w:r>
        <w:rPr>
          <w:rFonts w:ascii="PingFang SC" w:hAnsi="PingFang SC" w:cs="PingFang SC" w:eastAsia="苹方-简"/>
          <w:sz w:val="21"/>
        </w:rPr>
        <w:t>会展与赛事运营的竞争重心，正从“把活动办起来”转向“能证明现场执行没有掉链子”。规模扩张之后，客户与监管同时抬高了对过程记录与责任归属的要求。</w:t>
      </w:r>
    </w:p>
    <w:p>
      <w:pPr>
        <w:pStyle w:val="ListBullet"/>
        <w:spacing w:before="0" w:after="80" w:line="336" w:lineRule="auto"/>
        <w:ind w:left="482" w:hanging="255"/>
      </w:pPr>
      <w:r>
        <w:rPr>
          <w:rFonts w:ascii="PingFang SC" w:hAnsi="PingFang SC" w:cs="PingFang SC" w:eastAsia="苹方-简"/>
          <w:sz w:val="21"/>
        </w:rPr>
        <w:t>志愿者排班与交接处在这条链路最薄的一段：排班表、签到记录、交接记录分散在三套工具里，没有统一编号，“对不上”通常只能靠群消息与回忆定位。</w:t>
      </w:r>
    </w:p>
    <w:p>
      <w:pPr>
        <w:pStyle w:val="ListBullet"/>
        <w:spacing w:before="0" w:after="80" w:line="336" w:lineRule="auto"/>
        <w:ind w:left="482" w:hanging="255"/>
      </w:pPr>
      <w:r>
        <w:rPr>
          <w:rFonts w:ascii="PingFang SC" w:hAnsi="PingFang SC" w:cs="PingFang SC" w:eastAsia="苹方-简"/>
          <w:sz w:val="21"/>
        </w:rPr>
        <w:t>政策侧三条线同时收紧——志愿服务记录须真实可追溯、个人信息处理须最小必要、自动化决策须可说明可拒绝——使“只读、脱敏、留痕、人签字”从设计偏好变成合规底线。</w:t>
      </w:r>
    </w:p>
    <w:p>
      <w:pPr>
        <w:pStyle w:val="ListBullet"/>
        <w:spacing w:before="0" w:after="80" w:line="336" w:lineRule="auto"/>
        <w:ind w:left="482" w:hanging="255"/>
      </w:pPr>
      <w:r>
        <w:rPr>
          <w:rFonts w:ascii="PingFang SC" w:hAnsi="PingFang SC" w:cs="PingFang SC" w:eastAsia="苹方-简"/>
          <w:sz w:val="21"/>
        </w:rPr>
        <w:t>主流替代方案（排班 SaaS、人力外包、自建系统）能把人“排出来”，却普遍不回答“交接算不算完成”和“结论能不能被审计”，这正是只读核对工具的生存空间。</w:t>
      </w:r>
    </w:p>
    <w:p>
      <w:pPr>
        <w:pStyle w:val="ListBullet"/>
        <w:spacing w:before="0" w:after="80" w:line="336" w:lineRule="auto"/>
        <w:ind w:left="482" w:hanging="255"/>
      </w:pPr>
      <w:r>
        <w:rPr>
          <w:rFonts w:ascii="PingFang SC" w:hAnsi="PingFang SC" w:cs="PingFang SC" w:eastAsia="苹方-简"/>
          <w:sz w:val="21"/>
        </w:rPr>
        <w:t>计价方式正从人天转向“基础费 + 效果浮动”，但只有归因干净的指标（核对工时）适合进公式；范围收窄到只读核对，价格才站得住。</w:t>
      </w:r>
    </w:p>
    <w:p>
      <w:pPr>
        <w:pStyle w:val="Heading1"/>
        <w:pBdr>
          <w:bottom w:val="single" w:sz="6" w:space="3" w:color="C9D3E0"/>
        </w:pBdr>
      </w:pPr>
      <w:r>
        <w:rPr>
          <w:rFonts w:ascii="PingFang SC" w:hAnsi="PingFang SC" w:cs="PingFang SC" w:eastAsia="苹方-简"/>
          <w:b/>
          <w:color w:val="1F3864"/>
          <w:sz w:val="30"/>
        </w:rPr>
        <w:t>2  行业范围与口径</w:t>
      </w:r>
    </w:p>
    <w:p>
      <w:pPr>
        <w:pStyle w:val="Heading2"/>
      </w:pPr>
      <w:r>
        <w:rPr>
          <w:rFonts w:ascii="PingFang SC" w:hAnsi="PingFang SC" w:cs="PingFang SC" w:eastAsia="苹方-简"/>
          <w:b/>
          <w:color w:val="2E5496"/>
          <w:sz w:val="24"/>
        </w:rPr>
        <w:t>2.1  行业边界</w:t>
      </w:r>
    </w:p>
    <w:p>
      <w:pPr>
        <w:spacing w:before="0" w:after="100" w:line="348" w:lineRule="auto"/>
        <w:ind w:firstLine="420"/>
      </w:pPr>
      <w:r>
        <w:rPr>
          <w:rFonts w:ascii="PingFang SC" w:hAnsi="PingFang SC" w:cs="PingFang SC" w:eastAsia="苹方-简"/>
          <w:sz w:val="21"/>
        </w:rPr>
        <w:t>本报告所说的赛事运营服务，指围绕会展、体育赛事与大型活动提供现场组织与执行的服务环节：场馆与现场管理、志愿者与临时用工组织、签到与岗位调度、交接与复盘。它不等同于展台搭建或票务平台这类单点业务，也不包含场馆基建投资。这样切的原因很直接：排班与交接只在这条链路上同时出现；脱离现场执行谈排班，讨论会退化成人力资源软件的功能清单。</w:t>
      </w:r>
    </w:p>
    <w:p>
      <w:pPr>
        <w:pStyle w:val="Heading2"/>
      </w:pPr>
      <w:r>
        <w:rPr>
          <w:rFonts w:ascii="PingFang SC" w:hAnsi="PingFang SC" w:cs="PingFang SC" w:eastAsia="苹方-简"/>
          <w:b/>
          <w:color w:val="2E5496"/>
          <w:sz w:val="24"/>
        </w:rPr>
        <w:t>2.2  现场执行链的五段</w:t>
      </w:r>
    </w:p>
    <w:p>
      <w:pPr>
        <w:spacing w:before="0" w:after="100" w:line="348" w:lineRule="auto"/>
        <w:ind w:firstLine="420"/>
      </w:pPr>
      <w:r>
        <w:rPr>
          <w:rFonts w:ascii="PingFang SC" w:hAnsi="PingFang SC" w:cs="PingFang SC" w:eastAsia="苹方-简"/>
          <w:sz w:val="21"/>
        </w:rPr>
        <w:t>现场执行可拆成五段：岗位需求（谁、在哪个点位、什么时段）、人员匹配（谁去顶、是否冲突）、确认（本人与负责人双向确认）、签到（到场事实）、现场交接（上一班把未结项交给下一班）。五段各自产生一份记录，通常落在三套互不相通的工具、若干张表格和几个工作群里。本报告关注的“排班与交接”，本质是这段链路的跨表一致性——问题不是缺不缺功能，而是同一件事在三份记录里能不能对上。</w:t>
      </w:r>
    </w:p>
    <w:p>
      <w:pPr>
        <w:pStyle w:val="Heading2"/>
      </w:pPr>
      <w:r>
        <w:rPr>
          <w:rFonts w:ascii="PingFang SC" w:hAnsi="PingFang SC" w:cs="PingFang SC" w:eastAsia="苹方-简"/>
          <w:b/>
          <w:color w:val="2E5496"/>
          <w:sz w:val="24"/>
        </w:rPr>
        <w:t>2.3  本报告的口径与边界</w:t>
      </w:r>
    </w:p>
    <w:p>
      <w:pPr>
        <w:pStyle w:val="ListBullet"/>
        <w:spacing w:before="0" w:after="80" w:line="336" w:lineRule="auto"/>
        <w:ind w:left="482" w:hanging="255"/>
      </w:pPr>
      <w:r>
        <w:rPr>
          <w:rFonts w:ascii="PingFang SC" w:hAnsi="PingFang SC" w:cs="PingFang SC" w:eastAsia="苹方-简"/>
          <w:sz w:val="21"/>
        </w:rPr>
        <w:t>数据口径：只采用可公开检索的报道、政府文件与行业报告信息；未取得可核验数值的，标注“待核实”。</w:t>
      </w:r>
    </w:p>
    <w:p>
      <w:pPr>
        <w:pStyle w:val="ListBullet"/>
        <w:spacing w:before="0" w:after="80" w:line="336" w:lineRule="auto"/>
        <w:ind w:left="482" w:hanging="255"/>
      </w:pPr>
      <w:r>
        <w:rPr>
          <w:rFonts w:ascii="PingFang SC" w:hAnsi="PingFang SC" w:cs="PingFang SC" w:eastAsia="苹方-简"/>
          <w:sz w:val="21"/>
        </w:rPr>
        <w:t>场景口径：中国境内会展与体育赛事的现场执行，不含海外业务，也不含志愿者招募、培训本身。</w:t>
      </w:r>
    </w:p>
    <w:p>
      <w:pPr>
        <w:pStyle w:val="ListBullet"/>
        <w:spacing w:before="0" w:after="80" w:line="336" w:lineRule="auto"/>
        <w:ind w:left="482" w:hanging="255"/>
      </w:pPr>
      <w:r>
        <w:rPr>
          <w:rFonts w:ascii="PingFang SC" w:hAnsi="PingFang SC" w:cs="PingFang SC" w:eastAsia="苹方-简"/>
          <w:sz w:val="21"/>
        </w:rPr>
        <w:t>能力口径：只讨论“只读核对”类工具——读多份导出、确定性比对、给带坐标的清单、留审计；不讨论写回、外发、自动指派。</w:t>
      </w:r>
    </w:p>
    <w:p>
      <w:pPr>
        <w:pStyle w:val="ListBullet"/>
        <w:spacing w:before="0" w:after="80" w:line="336" w:lineRule="auto"/>
        <w:ind w:left="482" w:hanging="255"/>
      </w:pPr>
      <w:r>
        <w:rPr>
          <w:rFonts w:ascii="PingFang SC" w:hAnsi="PingFang SC" w:cs="PingFang SC" w:eastAsia="苹方-简"/>
          <w:sz w:val="21"/>
        </w:rPr>
        <w:t>时间口径：检索与撰写基准日为 2026 年 10 月 23 日；政策以现行有效版本为准。</w:t>
      </w:r>
    </w:p>
    <w:p>
      <w:pPr>
        <w:pStyle w:val="Heading1"/>
        <w:pBdr>
          <w:bottom w:val="single" w:sz="6" w:space="3" w:color="C9D3E0"/>
        </w:pBdr>
      </w:pPr>
      <w:r>
        <w:rPr>
          <w:rFonts w:ascii="PingFang SC" w:hAnsi="PingFang SC" w:cs="PingFang SC" w:eastAsia="苹方-简"/>
          <w:b/>
          <w:color w:val="1F3864"/>
          <w:sz w:val="30"/>
        </w:rPr>
        <w:t>3  市场规模与增长</w:t>
      </w:r>
    </w:p>
    <w:p>
      <w:pPr>
        <w:pStyle w:val="Heading2"/>
      </w:pPr>
      <w:r>
        <w:rPr>
          <w:rFonts w:ascii="PingFang SC" w:hAnsi="PingFang SC" w:cs="PingFang SC" w:eastAsia="苹方-简"/>
          <w:b/>
          <w:color w:val="2E5496"/>
          <w:sz w:val="24"/>
        </w:rPr>
        <w:t>3.1  会展业：数量与面积创新高，绝对值待核实</w:t>
      </w:r>
    </w:p>
    <w:p>
      <w:pPr>
        <w:spacing w:before="0" w:after="100" w:line="348" w:lineRule="auto"/>
        <w:ind w:firstLine="420"/>
      </w:pPr>
      <w:r>
        <w:rPr>
          <w:rFonts w:ascii="PingFang SC" w:hAnsi="PingFang SC" w:cs="PingFang SC" w:eastAsia="苹方-简"/>
          <w:sz w:val="21"/>
        </w:rPr>
        <w:t>中国贸促会《中国展览经济发展报告 2025》显示，2025 年我国经贸类展会的数量与展览总面积均创历史新高[1][4]；经济日报与新华网在 2026 年初的报道中，用“综合带动效应不断放大”“乘数效应扩大”描述这一轮增长[2][3]。真正需要关注的不是总量，而是并发度：同一城市、同一天多个场馆同时开展或开赛，现场协调的复杂度按并发数增长，而不按场次数线性增长。具体的场次数、展览面积与带动系数，本报告未取得可核验的一手数值，标注“待核实”，引用时请以原报告为准。</w:t>
      </w:r>
    </w:p>
    <w:p>
      <w:pPr>
        <w:pStyle w:val="Heading2"/>
      </w:pPr>
      <w:r>
        <w:rPr>
          <w:rFonts w:ascii="PingFang SC" w:hAnsi="PingFang SC" w:cs="PingFang SC" w:eastAsia="苹方-简"/>
          <w:b/>
          <w:color w:val="2E5496"/>
          <w:sz w:val="24"/>
        </w:rPr>
        <w:t>3.2  体育赛事：政策先行，市场规模待核实</w:t>
      </w:r>
    </w:p>
    <w:p>
      <w:pPr>
        <w:spacing w:before="0" w:after="100" w:line="348" w:lineRule="auto"/>
        <w:ind w:firstLine="420"/>
      </w:pPr>
      <w:r>
        <w:rPr>
          <w:rFonts w:ascii="PingFang SC" w:hAnsi="PingFang SC" w:cs="PingFang SC" w:eastAsia="苹方-简"/>
          <w:sz w:val="21"/>
        </w:rPr>
        <w:t>2025 年 9 月，国务院办公厅印发《关于释放体育消费潜力进一步推进体育产业高质量发展的意见》[5]，把赛事供给、体育消费场景与产业融合列为重点方向。政策信号明确，但“体育赛事运营服务”并不是独立的统计口径；第三方研究机构的相关报告多以付费形式发布，公开摘要不含可复核的绝对值[6]。因此本节不引用市场规模数字，标注“待核实”。</w:t>
      </w:r>
    </w:p>
    <w:p>
      <w:pPr>
        <w:pStyle w:val="Heading2"/>
      </w:pPr>
      <w:r>
        <w:rPr>
          <w:rFonts w:ascii="PingFang SC" w:hAnsi="PingFang SC" w:cs="PingFang SC" w:eastAsia="苹方-简"/>
          <w:b/>
          <w:color w:val="2E5496"/>
          <w:sz w:val="24"/>
        </w:rPr>
        <w:t>3.3  志愿者人力：制度清楚，总量待核实</w:t>
      </w:r>
    </w:p>
    <w:p>
      <w:pPr>
        <w:spacing w:before="0" w:after="100" w:line="348" w:lineRule="auto"/>
        <w:ind w:firstLine="420"/>
      </w:pPr>
      <w:r>
        <w:rPr>
          <w:rFonts w:ascii="PingFang SC" w:hAnsi="PingFang SC" w:cs="PingFang SC" w:eastAsia="苹方-简"/>
          <w:sz w:val="21"/>
        </w:rPr>
        <w:t>《志愿服务条例》确立了志愿服务的组织、记录、证明与保障框架[7]，是赛事志愿者管理最主要的制度依据；公开报道也持续强调志愿服务在社会治理中的作用[8]。但“注册志愿者总量”“赛事类志愿者人次”缺少统一、可长期引用的官方口径，本报告标注“待核实”。</w:t>
      </w:r>
    </w:p>
    <w:p>
      <w:pPr>
        <w:pStyle w:val="Heading2"/>
      </w:pPr>
      <w:r>
        <w:rPr>
          <w:rFonts w:ascii="PingFang SC" w:hAnsi="PingFang SC" w:cs="PingFang SC" w:eastAsia="苹方-简"/>
          <w:b/>
          <w:color w:val="2E5496"/>
          <w:sz w:val="24"/>
        </w:rPr>
        <w:t>3.4  三条不依赖具体数字的结构性判断</w:t>
      </w:r>
    </w:p>
    <w:p>
      <w:pPr>
        <w:spacing w:before="0" w:after="100" w:line="348" w:lineRule="auto"/>
        <w:ind w:firstLine="420"/>
      </w:pPr>
      <w:r>
        <w:rPr>
          <w:rFonts w:ascii="PingFang SC" w:hAnsi="PingFang SC" w:cs="PingFang SC" w:eastAsia="苹方-简"/>
          <w:sz w:val="21"/>
        </w:rPr>
        <w:t>以下三条判断在后文反复用到，且不依赖任何单一统计值：其一，活动密度上升快于可用人力，临时用工与志愿者“拼班”成为常态；其二，记录分散化程度随工具增多而上升，“对不上”的概率随之上升；其三，客户对“可证明”的付费意愿，正在超过对“更多功能”的付费意愿。这三条决定了本场景的需求方向，也解释了为什么“只读核对”这种窄工具会有市场。</w:t>
      </w:r>
    </w:p>
    <w:p>
      <w:pPr>
        <w:pStyle w:val="Heading1"/>
        <w:pBdr>
          <w:bottom w:val="single" w:sz="6" w:space="3" w:color="C9D3E0"/>
        </w:pBdr>
      </w:pPr>
      <w:r>
        <w:rPr>
          <w:rFonts w:ascii="PingFang SC" w:hAnsi="PingFang SC" w:cs="PingFang SC" w:eastAsia="苹方-简"/>
          <w:b/>
          <w:color w:val="1F3864"/>
          <w:sz w:val="30"/>
        </w:rPr>
        <w:t>4  政策与合规</w:t>
      </w:r>
    </w:p>
    <w:p>
      <w:pPr>
        <w:pStyle w:val="Heading2"/>
      </w:pPr>
      <w:r>
        <w:rPr>
          <w:rFonts w:ascii="PingFang SC" w:hAnsi="PingFang SC" w:cs="PingFang SC" w:eastAsia="苹方-简"/>
          <w:b/>
          <w:color w:val="2E5496"/>
          <w:sz w:val="24"/>
        </w:rPr>
        <w:t>4.1  志愿服务：记录与证明是可追溯义务</w:t>
      </w:r>
    </w:p>
    <w:p>
      <w:pPr>
        <w:spacing w:before="0" w:after="100" w:line="348" w:lineRule="auto"/>
        <w:ind w:firstLine="420"/>
      </w:pPr>
      <w:r>
        <w:rPr>
          <w:rFonts w:ascii="PingFang SC" w:hAnsi="PingFang SC" w:cs="PingFang SC" w:eastAsia="苹方-简"/>
          <w:sz w:val="21"/>
        </w:rPr>
        <w:t>《志愿服务条例》要求志愿服务组织如实记录志愿者的服务信息，并在需要时出具证明[7]。落到现场，“谁在哪个点位、几点到、几点交班”不只是内部台账，而是可能被志愿者本人、用人单位或监管部门调取的事实记录。这意味着交接记录不能只存在于群里，至少要有一份可回溯、可定位到具体行的版本。</w:t>
      </w:r>
    </w:p>
    <w:p>
      <w:pPr>
        <w:pStyle w:val="Heading2"/>
      </w:pPr>
      <w:r>
        <w:rPr>
          <w:rFonts w:ascii="PingFang SC" w:hAnsi="PingFang SC" w:cs="PingFang SC" w:eastAsia="苹方-简"/>
          <w:b/>
          <w:color w:val="2E5496"/>
          <w:sz w:val="24"/>
        </w:rPr>
        <w:t>4.2  数据安全与个人信息：只读优先，最小必要</w:t>
      </w:r>
    </w:p>
    <w:p>
      <w:pPr>
        <w:spacing w:before="0" w:after="100" w:line="348" w:lineRule="auto"/>
        <w:ind w:firstLine="420"/>
      </w:pPr>
      <w:r>
        <w:rPr>
          <w:rFonts w:ascii="PingFang SC" w:hAnsi="PingFang SC" w:cs="PingFang SC" w:eastAsia="苹方-简"/>
          <w:sz w:val="21"/>
        </w:rPr>
        <w:t>《数据安全法》确立数据分类分级与安全保护义务[9]，《个人信息保护法》要求处理个人信息具有明确、合理的目的，并遵循最小必要原则[10]。志愿者数据包含姓名、证件号、联系方式、健康状况等敏感字段，一旦进入分析链路，风险会随“写回”和“外发”动作显著上升。只读、脱敏、按批次留存、到期删除，是把合规风险压到最低的工程选择：工具不改变源系统状态，也不制造新的数据副本流转。</w:t>
      </w:r>
    </w:p>
    <w:p>
      <w:pPr>
        <w:pStyle w:val="Heading2"/>
      </w:pPr>
      <w:r>
        <w:rPr>
          <w:rFonts w:ascii="PingFang SC" w:hAnsi="PingFang SC" w:cs="PingFang SC" w:eastAsia="苹方-简"/>
          <w:b/>
          <w:color w:val="2E5496"/>
          <w:sz w:val="24"/>
        </w:rPr>
        <w:t>4.3  人工智能治理：自动化决策的边界</w:t>
      </w:r>
    </w:p>
    <w:p>
      <w:pPr>
        <w:spacing w:before="0" w:after="100" w:line="348" w:lineRule="auto"/>
        <w:ind w:firstLine="420"/>
      </w:pPr>
      <w:r>
        <w:rPr>
          <w:rFonts w:ascii="PingFang SC" w:hAnsi="PingFang SC" w:cs="PingFang SC" w:eastAsia="苹方-简"/>
          <w:sz w:val="21"/>
        </w:rPr>
        <w:t>《互联网信息服务算法推荐管理规定》要求对自动化决策作出说明，并向用户提供关闭或拒绝的选项[11]；《生成式人工智能服务管理暂行办法》明确了服务提供者的主体责任[12]；2025 年发布的《人工智能生成合成内容标识办法》进一步要求对 AI 生成内容加以标识[13]。三条规则指向同一结论：AI 可以起草、提示、排序，但不能在无人确认的情况下替人下“交接已完成”“此人可以上岗”这类结论。本项目的“AI 产出全是草稿、判断点全在人手里”，与监管方向同向。</w:t>
      </w:r>
    </w:p>
    <w:p>
      <w:pPr>
        <w:keepNext/>
        <w:spacing w:before="200" w:after="60"/>
        <w:jc w:val="left"/>
      </w:pPr>
      <w:r>
        <w:rPr>
          <w:rFonts w:ascii="PingFang SC" w:hAnsi="PingFang SC" w:cs="PingFang SC" w:eastAsia="苹方-简"/>
          <w:b/>
          <w:color w:val="1F3864"/>
          <w:sz w:val="18"/>
        </w:rPr>
        <w:t>表 1  政策要求与本项目设计边界的对应关系</w:t>
      </w:r>
    </w:p>
    <w:tbl>
      <w:tblPr>
        <w:tblStyle w:val="TableGrid"/>
        <w:tblW w:type="dxa" w:w="8958"/>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60" w:type="dxa"/>
          <w:left w:w="90" w:type="dxa"/>
          <w:bottom w:w="60" w:type="dxa"/>
          <w:right w:w="90" w:type="dxa"/>
        </w:tblCellMar>
        <w:tblLook w:firstColumn="1" w:firstRow="1" w:lastColumn="0" w:lastRow="0" w:noHBand="0" w:noVBand="1" w:val="04A0"/>
      </w:tblPr>
      <w:tblGrid>
        <w:gridCol w:w="2986"/>
        <w:gridCol w:w="2986"/>
        <w:gridCol w:w="2986"/>
      </w:tblGrid>
      <w:tr>
        <w:trPr>
          <w:cantSplit w:val="true"/>
          <w:tblHeader w:val="true"/>
        </w:trPr>
        <w:tc>
          <w:tcPr>
            <w:tcW w:type="dxa" w:w="2608"/>
            <w:shd w:val="clear" w:color="auto" w:fill="1F3864"/>
            <w:vAlign w:val="center"/>
          </w:tcPr>
          <w:p>
            <w:pPr>
              <w:spacing w:before="40" w:after="40" w:line="276" w:lineRule="auto"/>
              <w:jc w:val="left"/>
            </w:pPr>
            <w:r>
              <w:rPr>
                <w:rFonts w:ascii="PingFang SC" w:hAnsi="PingFang SC" w:cs="PingFang SC" w:eastAsia="苹方-简"/>
                <w:b/>
                <w:color w:val="FFFFFF"/>
                <w:sz w:val="18"/>
              </w:rPr>
              <w:t>政策要求</w:t>
            </w:r>
          </w:p>
        </w:tc>
        <w:tc>
          <w:tcPr>
            <w:tcW w:type="dxa" w:w="2948"/>
            <w:shd w:val="clear" w:color="auto" w:fill="1F3864"/>
            <w:vAlign w:val="center"/>
          </w:tcPr>
          <w:p>
            <w:pPr>
              <w:spacing w:before="40" w:after="40" w:line="276" w:lineRule="auto"/>
              <w:jc w:val="left"/>
            </w:pPr>
            <w:r>
              <w:rPr>
                <w:rFonts w:ascii="PingFang SC" w:hAnsi="PingFang SC" w:cs="PingFang SC" w:eastAsia="苹方-简"/>
                <w:b/>
                <w:color w:val="FFFFFF"/>
                <w:sz w:val="18"/>
              </w:rPr>
              <w:t>现场落地时的难点</w:t>
            </w:r>
          </w:p>
        </w:tc>
        <w:tc>
          <w:tcPr>
            <w:tcW w:type="dxa" w:w="3402"/>
            <w:shd w:val="clear" w:color="auto" w:fill="1F3864"/>
            <w:vAlign w:val="center"/>
          </w:tcPr>
          <w:p>
            <w:pPr>
              <w:spacing w:before="40" w:after="40" w:line="276" w:lineRule="auto"/>
              <w:jc w:val="left"/>
            </w:pPr>
            <w:r>
              <w:rPr>
                <w:rFonts w:ascii="PingFang SC" w:hAnsi="PingFang SC" w:cs="PingFang SC" w:eastAsia="苹方-简"/>
                <w:b/>
                <w:color w:val="FFFFFF"/>
                <w:sz w:val="18"/>
              </w:rPr>
              <w:t>本项目的对应设计</w:t>
            </w:r>
          </w:p>
        </w:tc>
      </w:tr>
      <w:tr>
        <w:tc>
          <w:tcPr>
            <w:tcW w:type="dxa" w:w="2608"/>
            <w:vAlign w:val="top"/>
          </w:tcPr>
          <w:p>
            <w:pPr>
              <w:spacing w:before="40" w:after="40" w:line="288" w:lineRule="auto"/>
              <w:jc w:val="left"/>
            </w:pPr>
            <w:r>
              <w:rPr>
                <w:rFonts w:ascii="PingFang SC" w:hAnsi="PingFang SC" w:cs="PingFang SC" w:eastAsia="苹方-简"/>
                <w:b/>
                <w:sz w:val="18"/>
              </w:rPr>
              <w:t>志愿服务记录真实、可出具证明[7]</w:t>
            </w:r>
          </w:p>
        </w:tc>
        <w:tc>
          <w:tcPr>
            <w:tcW w:type="dxa" w:w="2948"/>
            <w:vAlign w:val="top"/>
          </w:tcPr>
          <w:p>
            <w:pPr>
              <w:spacing w:before="40" w:after="40" w:line="288" w:lineRule="auto"/>
              <w:jc w:val="left"/>
            </w:pPr>
            <w:r>
              <w:rPr>
                <w:rFonts w:ascii="PingFang SC" w:hAnsi="PingFang SC" w:cs="PingFang SC" w:eastAsia="苹方-简"/>
                <w:b w:val="0"/>
                <w:sz w:val="18"/>
              </w:rPr>
              <w:t>记录分散在排班表、签到表、交接表三处</w:t>
            </w:r>
          </w:p>
        </w:tc>
        <w:tc>
          <w:tcPr>
            <w:tcW w:type="dxa" w:w="3402"/>
            <w:vAlign w:val="top"/>
          </w:tcPr>
          <w:p>
            <w:pPr>
              <w:spacing w:before="40" w:after="40" w:line="288" w:lineRule="auto"/>
              <w:jc w:val="left"/>
            </w:pPr>
            <w:r>
              <w:rPr>
                <w:rFonts w:ascii="PingFang SC" w:hAnsi="PingFang SC" w:cs="PingFang SC" w:eastAsia="苹方-简"/>
                <w:b w:val="0"/>
                <w:sz w:val="18"/>
              </w:rPr>
              <w:t>三表只读比对，输出带「文件#行号」的清单</w:t>
            </w:r>
          </w:p>
        </w:tc>
      </w:tr>
      <w:tr>
        <w:tc>
          <w:tcPr>
            <w:tcW w:type="dxa" w:w="2608"/>
            <w:shd w:val="clear" w:color="auto" w:fill="F4F6FA"/>
            <w:vAlign w:val="top"/>
          </w:tcPr>
          <w:p>
            <w:pPr>
              <w:spacing w:before="40" w:after="40" w:line="288" w:lineRule="auto"/>
              <w:jc w:val="left"/>
            </w:pPr>
            <w:r>
              <w:rPr>
                <w:rFonts w:ascii="PingFang SC" w:hAnsi="PingFang SC" w:cs="PingFang SC" w:eastAsia="苹方-简"/>
                <w:b/>
                <w:sz w:val="18"/>
              </w:rPr>
              <w:t>最小必要、目的限定[10]</w:t>
            </w:r>
          </w:p>
        </w:tc>
        <w:tc>
          <w:tcPr>
            <w:tcW w:type="dxa" w:w="2948"/>
            <w:shd w:val="clear" w:color="auto" w:fill="F4F6FA"/>
            <w:vAlign w:val="top"/>
          </w:tcPr>
          <w:p>
            <w:pPr>
              <w:spacing w:before="40" w:after="40" w:line="288" w:lineRule="auto"/>
              <w:jc w:val="left"/>
            </w:pPr>
            <w:r>
              <w:rPr>
                <w:rFonts w:ascii="PingFang SC" w:hAnsi="PingFang SC" w:cs="PingFang SC" w:eastAsia="苹方-简"/>
                <w:b w:val="0"/>
                <w:sz w:val="18"/>
              </w:rPr>
              <w:t>分析时容易顺手复制一份全量数据</w:t>
            </w:r>
          </w:p>
        </w:tc>
        <w:tc>
          <w:tcPr>
            <w:tcW w:type="dxa" w:w="3402"/>
            <w:shd w:val="clear" w:color="auto" w:fill="F4F6FA"/>
            <w:vAlign w:val="top"/>
          </w:tcPr>
          <w:p>
            <w:pPr>
              <w:spacing w:before="40" w:after="40" w:line="288" w:lineRule="auto"/>
              <w:jc w:val="left"/>
            </w:pPr>
            <w:r>
              <w:rPr>
                <w:rFonts w:ascii="PingFang SC" w:hAnsi="PingFang SC" w:cs="PingFang SC" w:eastAsia="苹方-简"/>
                <w:b w:val="0"/>
                <w:sz w:val="18"/>
              </w:rPr>
              <w:t>只读导出，按批次留存，到期删除</w:t>
            </w:r>
          </w:p>
        </w:tc>
      </w:tr>
      <w:tr>
        <w:tc>
          <w:tcPr>
            <w:tcW w:type="dxa" w:w="2608"/>
            <w:vAlign w:val="top"/>
          </w:tcPr>
          <w:p>
            <w:pPr>
              <w:spacing w:before="40" w:after="40" w:line="288" w:lineRule="auto"/>
              <w:jc w:val="left"/>
            </w:pPr>
            <w:r>
              <w:rPr>
                <w:rFonts w:ascii="PingFang SC" w:hAnsi="PingFang SC" w:cs="PingFang SC" w:eastAsia="苹方-简"/>
                <w:b/>
                <w:sz w:val="18"/>
              </w:rPr>
              <w:t>自动化决策可说明、可拒绝[11]</w:t>
            </w:r>
          </w:p>
        </w:tc>
        <w:tc>
          <w:tcPr>
            <w:tcW w:type="dxa" w:w="2948"/>
            <w:vAlign w:val="top"/>
          </w:tcPr>
          <w:p>
            <w:pPr>
              <w:spacing w:before="40" w:after="40" w:line="288" w:lineRule="auto"/>
              <w:jc w:val="left"/>
            </w:pPr>
            <w:r>
              <w:rPr>
                <w:rFonts w:ascii="PingFang SC" w:hAnsi="PingFang SC" w:cs="PingFang SC" w:eastAsia="苹方-简"/>
                <w:b w:val="0"/>
                <w:sz w:val="18"/>
              </w:rPr>
              <w:t>系统替人判定「交接完成」后无人复核</w:t>
            </w:r>
          </w:p>
        </w:tc>
        <w:tc>
          <w:tcPr>
            <w:tcW w:type="dxa" w:w="3402"/>
            <w:vAlign w:val="top"/>
          </w:tcPr>
          <w:p>
            <w:pPr>
              <w:spacing w:before="40" w:after="40" w:line="288" w:lineRule="auto"/>
              <w:jc w:val="left"/>
            </w:pPr>
            <w:r>
              <w:rPr>
                <w:rFonts w:ascii="PingFang SC" w:hAnsi="PingFang SC" w:cs="PingFang SC" w:eastAsia="苹方-简"/>
                <w:b w:val="0"/>
                <w:sz w:val="18"/>
              </w:rPr>
              <w:t>只输出信号，不输出 is_complete；复核必须有复核人</w:t>
            </w:r>
          </w:p>
        </w:tc>
      </w:tr>
      <w:tr>
        <w:tc>
          <w:tcPr>
            <w:tcW w:type="dxa" w:w="2608"/>
            <w:shd w:val="clear" w:color="auto" w:fill="F4F6FA"/>
            <w:vAlign w:val="top"/>
          </w:tcPr>
          <w:p>
            <w:pPr>
              <w:spacing w:before="40" w:after="40" w:line="288" w:lineRule="auto"/>
              <w:jc w:val="left"/>
            </w:pPr>
            <w:r>
              <w:rPr>
                <w:rFonts w:ascii="PingFang SC" w:hAnsi="PingFang SC" w:cs="PingFang SC" w:eastAsia="苹方-简"/>
                <w:b/>
                <w:sz w:val="18"/>
              </w:rPr>
              <w:t>AI 生成内容需标识[13]</w:t>
            </w:r>
          </w:p>
        </w:tc>
        <w:tc>
          <w:tcPr>
            <w:tcW w:type="dxa" w:w="2948"/>
            <w:shd w:val="clear" w:color="auto" w:fill="F4F6FA"/>
            <w:vAlign w:val="top"/>
          </w:tcPr>
          <w:p>
            <w:pPr>
              <w:spacing w:before="40" w:after="40" w:line="288" w:lineRule="auto"/>
              <w:jc w:val="left"/>
            </w:pPr>
            <w:r>
              <w:rPr>
                <w:rFonts w:ascii="PingFang SC" w:hAnsi="PingFang SC" w:cs="PingFang SC" w:eastAsia="苹方-简"/>
                <w:b w:val="0"/>
                <w:sz w:val="18"/>
              </w:rPr>
              <w:t>AI 起草的清单被当成结论直接执行</w:t>
            </w:r>
          </w:p>
        </w:tc>
        <w:tc>
          <w:tcPr>
            <w:tcW w:type="dxa" w:w="3402"/>
            <w:shd w:val="clear" w:color="auto" w:fill="F4F6FA"/>
            <w:vAlign w:val="top"/>
          </w:tcPr>
          <w:p>
            <w:pPr>
              <w:spacing w:before="40" w:after="40" w:line="288" w:lineRule="auto"/>
              <w:jc w:val="left"/>
            </w:pPr>
            <w:r>
              <w:rPr>
                <w:rFonts w:ascii="PingFang SC" w:hAnsi="PingFang SC" w:cs="PingFang SC" w:eastAsia="苹方-简"/>
                <w:b w:val="0"/>
                <w:sz w:val="18"/>
              </w:rPr>
              <w:t>草稿与签字分离，签字缺失则结论不生效</w:t>
            </w:r>
          </w:p>
        </w:tc>
      </w:tr>
    </w:tbl>
    <w:p>
      <w:pPr>
        <w:spacing w:before="0" w:after="40" w:line="240" w:lineRule="auto"/>
      </w:pPr>
      <w:r>
        <w:rPr>
          <w:rFonts w:ascii="PingFang SC" w:hAnsi="PingFang SC" w:cs="PingFang SC" w:eastAsia="苹方-简"/>
          <w:sz w:val="8"/>
        </w:rPr>
      </w:r>
    </w:p>
    <w:p>
      <w:pPr>
        <w:pStyle w:val="Heading1"/>
        <w:pBdr>
          <w:bottom w:val="single" w:sz="6" w:space="3" w:color="C9D3E0"/>
        </w:pBdr>
      </w:pPr>
      <w:r>
        <w:rPr>
          <w:rFonts w:ascii="PingFang SC" w:hAnsi="PingFang SC" w:cs="PingFang SC" w:eastAsia="苹方-简"/>
          <w:b/>
          <w:color w:val="1F3864"/>
          <w:sz w:val="30"/>
        </w:rPr>
        <w:t>5  技术趋势</w:t>
      </w:r>
    </w:p>
    <w:p>
      <w:pPr>
        <w:pStyle w:val="Heading2"/>
      </w:pPr>
      <w:r>
        <w:rPr>
          <w:rFonts w:ascii="PingFang SC" w:hAnsi="PingFang SC" w:cs="PingFang SC" w:eastAsia="苹方-简"/>
          <w:b/>
          <w:color w:val="2E5496"/>
          <w:sz w:val="24"/>
        </w:rPr>
        <w:t>5.1  只读集成替代写回</w:t>
      </w:r>
    </w:p>
    <w:p>
      <w:pPr>
        <w:spacing w:before="0" w:after="100" w:line="348" w:lineRule="auto"/>
        <w:ind w:firstLine="420"/>
      </w:pPr>
      <w:r>
        <w:rPr>
          <w:rFonts w:ascii="PingFang SC" w:hAnsi="PingFang SC" w:cs="PingFang SC" w:eastAsia="苹方-简"/>
          <w:sz w:val="21"/>
        </w:rPr>
        <w:t>过去十年企业软件的默认动作是“接进去、写回去”，代价是权限、接口与数据一致性三重负担。近两年更现实的路径是只读集成：读对方的导出、在本地做确定性比对、把结论作为建议交回人的流程。对客户，它不需要改造现有排班系统、不需要开放写权限、不需要停机窗口；对供应商，责任边界也最清楚——不改数据，就不承担改错数据的责任。</w:t>
      </w:r>
    </w:p>
    <w:p>
      <w:pPr>
        <w:pStyle w:val="Heading2"/>
      </w:pPr>
      <w:r>
        <w:rPr>
          <w:rFonts w:ascii="PingFang SC" w:hAnsi="PingFang SC" w:cs="PingFang SC" w:eastAsia="苹方-简"/>
          <w:b/>
          <w:color w:val="2E5496"/>
          <w:sz w:val="24"/>
        </w:rPr>
        <w:t>5.2  审计留痕成为采购硬指标</w:t>
      </w:r>
    </w:p>
    <w:p>
      <w:pPr>
        <w:spacing w:before="0" w:after="100" w:line="348" w:lineRule="auto"/>
        <w:ind w:firstLine="420"/>
      </w:pPr>
      <w:r>
        <w:rPr>
          <w:rFonts w:ascii="PingFang SC" w:hAnsi="PingFang SC" w:cs="PingFang SC" w:eastAsia="苹方-简"/>
          <w:sz w:val="21"/>
        </w:rPr>
        <w:t>当验收问题从“有没有做”变成“能不能证明”，采购清单里开始出现过去不写的东西：数据来源、版本号、查询人、查询时间、结论的生成规则。审计留痕不再是安全部门的附加要求，而是业务负责人在复盘会上自保的材料。一个回答不了“这条结论当时依据哪一版数据”的工具，很难进入正式采购。</w:t>
      </w:r>
    </w:p>
    <w:p>
      <w:pPr>
        <w:pStyle w:val="Heading2"/>
      </w:pPr>
      <w:r>
        <w:rPr>
          <w:rFonts w:ascii="PingFang SC" w:hAnsi="PingFang SC" w:cs="PingFang SC" w:eastAsia="苹方-简"/>
          <w:b/>
          <w:color w:val="2E5496"/>
          <w:sz w:val="24"/>
        </w:rPr>
        <w:t>5.3  “AI 起草 + 人签字”取代“AI 自动决策”</w:t>
      </w:r>
    </w:p>
    <w:p>
      <w:pPr>
        <w:spacing w:before="0" w:after="100" w:line="348" w:lineRule="auto"/>
        <w:ind w:firstLine="420"/>
      </w:pPr>
      <w:r>
        <w:rPr>
          <w:rFonts w:ascii="PingFang SC" w:hAnsi="PingFang SC" w:cs="PingFang SC" w:eastAsia="苹方-简"/>
          <w:sz w:val="21"/>
        </w:rPr>
        <w:t>生成式 AI 把“写”的成本压到接近零，同时把“信”的成本抬高。企业的应对不是不用 AI，而是把 AI 固定在草稿位：AI 负责不漏项、写得快、给候选，人负责判断与签字。这个分工在制度上对应“自动化决策须可说明、可拒绝”，在工程上对应一条硬规则——结论必须带签字字段，缺签字不生效。</w:t>
      </w:r>
    </w:p>
    <w:p>
      <w:pPr>
        <w:pStyle w:val="Heading2"/>
      </w:pPr>
      <w:r>
        <w:rPr>
          <w:rFonts w:ascii="PingFang SC" w:hAnsi="PingFang SC" w:cs="PingFang SC" w:eastAsia="苹方-简"/>
          <w:b/>
          <w:color w:val="2E5496"/>
          <w:sz w:val="24"/>
        </w:rPr>
        <w:t>5.4  按效果付费的计价方式兴起</w:t>
      </w:r>
    </w:p>
    <w:p>
      <w:pPr>
        <w:spacing w:before="0" w:after="100" w:line="348" w:lineRule="auto"/>
        <w:ind w:firstLine="420"/>
      </w:pPr>
      <w:r>
        <w:rPr>
          <w:rFonts w:ascii="PingFang SC" w:hAnsi="PingFang SC" w:cs="PingFang SC" w:eastAsia="苹方-简"/>
          <w:sz w:val="21"/>
        </w:rPr>
        <w:t>预算收紧后，客户越来越不愿为“功能”付费，而愿为“可验证的结果”付费。效果付费的难点从来不是意愿，而是归因：投诉下降、返工减少都受赛事规模、天气、观众行为影响，进不了干净公式。因此它在实际合同里常常长得像“基础费 + 一条写死的浮动公式”，浮动只挂在一项能算清的指标上。</w:t>
      </w:r>
    </w:p>
    <w:p>
      <w:pPr>
        <w:pStyle w:val="Heading1"/>
        <w:pBdr>
          <w:bottom w:val="single" w:sz="6" w:space="3" w:color="C9D3E0"/>
        </w:pBdr>
      </w:pPr>
      <w:r>
        <w:rPr>
          <w:rFonts w:ascii="PingFang SC" w:hAnsi="PingFang SC" w:cs="PingFang SC" w:eastAsia="苹方-简"/>
          <w:b/>
          <w:color w:val="1F3864"/>
          <w:sz w:val="30"/>
        </w:rPr>
        <w:t>6  竞争与替代方案</w:t>
      </w:r>
    </w:p>
    <w:p>
      <w:pPr>
        <w:spacing w:before="0" w:after="100" w:line="348" w:lineRule="auto"/>
        <w:ind w:firstLine="420"/>
      </w:pPr>
      <w:r>
        <w:rPr>
          <w:rFonts w:ascii="PingFang SC" w:hAnsi="PingFang SC" w:cs="PingFang SC" w:eastAsia="苹方-简"/>
          <w:sz w:val="21"/>
        </w:rPr>
        <w:t>现有替代方案可分四类：排班 SaaS 解决“排得出来、通知得到”，人力外包解决“人从哪来”，自建系统解决“数据在自己手里”，本项目解决“对不上在哪一行、谁签的字”。四者的差别不在功能多少，而在是否触碰“交接责任”与“可审计”这两件事。</w:t>
      </w:r>
    </w:p>
    <w:p>
      <w:pPr>
        <w:keepNext/>
        <w:spacing w:before="200" w:after="60"/>
        <w:jc w:val="left"/>
      </w:pPr>
      <w:r>
        <w:rPr>
          <w:rFonts w:ascii="PingFang SC" w:hAnsi="PingFang SC" w:cs="PingFang SC" w:eastAsia="苹方-简"/>
          <w:b/>
          <w:color w:val="1F3864"/>
          <w:sz w:val="18"/>
        </w:rPr>
        <w:t>表 2  四类替代方案对比（价格与周期为经验区间，公开报价待核实）</w:t>
      </w:r>
    </w:p>
    <w:tbl>
      <w:tblPr>
        <w:tblStyle w:val="TableGrid"/>
        <w:tblW w:type="dxa" w:w="896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60" w:type="dxa"/>
          <w:left w:w="90" w:type="dxa"/>
          <w:bottom w:w="60" w:type="dxa"/>
          <w:right w:w="90" w:type="dxa"/>
        </w:tblCellMar>
        <w:tblLook w:firstColumn="1" w:firstRow="1" w:lastColumn="0" w:lastRow="0" w:noHBand="0" w:noVBand="1" w:val="04A0"/>
      </w:tblPr>
      <w:tblGrid>
        <w:gridCol w:w="1493"/>
        <w:gridCol w:w="1493"/>
        <w:gridCol w:w="1493"/>
        <w:gridCol w:w="1493"/>
        <w:gridCol w:w="1493"/>
        <w:gridCol w:w="1493"/>
      </w:tblGrid>
      <w:tr>
        <w:trPr>
          <w:cantSplit w:val="true"/>
          <w:tblHeader w:val="true"/>
        </w:trPr>
        <w:tc>
          <w:tcPr>
            <w:tcW w:type="dxa" w:w="1417"/>
            <w:shd w:val="clear" w:color="auto" w:fill="1F3864"/>
            <w:vAlign w:val="center"/>
          </w:tcPr>
          <w:p>
            <w:pPr>
              <w:spacing w:before="40" w:after="40" w:line="276" w:lineRule="auto"/>
              <w:jc w:val="left"/>
            </w:pPr>
            <w:r>
              <w:rPr>
                <w:rFonts w:ascii="PingFang SC" w:hAnsi="PingFang SC" w:cs="PingFang SC" w:eastAsia="苹方-简"/>
                <w:b/>
                <w:color w:val="FFFFFF"/>
                <w:sz w:val="18"/>
              </w:rPr>
              <w:t>方案</w:t>
            </w:r>
          </w:p>
        </w:tc>
        <w:tc>
          <w:tcPr>
            <w:tcW w:type="dxa" w:w="1644"/>
            <w:shd w:val="clear" w:color="auto" w:fill="1F3864"/>
            <w:vAlign w:val="center"/>
          </w:tcPr>
          <w:p>
            <w:pPr>
              <w:spacing w:before="40" w:after="40" w:line="276" w:lineRule="auto"/>
              <w:jc w:val="left"/>
            </w:pPr>
            <w:r>
              <w:rPr>
                <w:rFonts w:ascii="PingFang SC" w:hAnsi="PingFang SC" w:cs="PingFang SC" w:eastAsia="苹方-简"/>
                <w:b/>
                <w:color w:val="FFFFFF"/>
                <w:sz w:val="18"/>
              </w:rPr>
              <w:t>价格区间</w:t>
            </w:r>
          </w:p>
        </w:tc>
        <w:tc>
          <w:tcPr>
            <w:tcW w:type="dxa" w:w="1361"/>
            <w:shd w:val="clear" w:color="auto" w:fill="1F3864"/>
            <w:vAlign w:val="center"/>
          </w:tcPr>
          <w:p>
            <w:pPr>
              <w:spacing w:before="40" w:after="40" w:line="276" w:lineRule="auto"/>
              <w:jc w:val="left"/>
            </w:pPr>
            <w:r>
              <w:rPr>
                <w:rFonts w:ascii="PingFang SC" w:hAnsi="PingFang SC" w:cs="PingFang SC" w:eastAsia="苹方-简"/>
                <w:b/>
                <w:color w:val="FFFFFF"/>
                <w:sz w:val="18"/>
              </w:rPr>
              <w:t>覆盖环节</w:t>
            </w:r>
          </w:p>
        </w:tc>
        <w:tc>
          <w:tcPr>
            <w:tcW w:type="dxa" w:w="1587"/>
            <w:shd w:val="clear" w:color="auto" w:fill="1F3864"/>
            <w:vAlign w:val="center"/>
          </w:tcPr>
          <w:p>
            <w:pPr>
              <w:spacing w:before="40" w:after="40" w:line="276" w:lineRule="auto"/>
              <w:jc w:val="left"/>
            </w:pPr>
            <w:r>
              <w:rPr>
                <w:rFonts w:ascii="PingFang SC" w:hAnsi="PingFang SC" w:cs="PingFang SC" w:eastAsia="苹方-简"/>
                <w:b/>
                <w:color w:val="FFFFFF"/>
                <w:sz w:val="18"/>
              </w:rPr>
              <w:t>是否解决交接责任</w:t>
            </w:r>
          </w:p>
        </w:tc>
        <w:tc>
          <w:tcPr>
            <w:tcW w:type="dxa" w:w="1587"/>
            <w:shd w:val="clear" w:color="auto" w:fill="1F3864"/>
            <w:vAlign w:val="center"/>
          </w:tcPr>
          <w:p>
            <w:pPr>
              <w:spacing w:before="40" w:after="40" w:line="276" w:lineRule="auto"/>
              <w:jc w:val="left"/>
            </w:pPr>
            <w:r>
              <w:rPr>
                <w:rFonts w:ascii="PingFang SC" w:hAnsi="PingFang SC" w:cs="PingFang SC" w:eastAsia="苹方-简"/>
                <w:b/>
                <w:color w:val="FFFFFF"/>
                <w:sz w:val="18"/>
              </w:rPr>
              <w:t>是否可审计</w:t>
            </w:r>
          </w:p>
        </w:tc>
        <w:tc>
          <w:tcPr>
            <w:tcW w:type="dxa" w:w="1361"/>
            <w:shd w:val="clear" w:color="auto" w:fill="1F3864"/>
            <w:vAlign w:val="center"/>
          </w:tcPr>
          <w:p>
            <w:pPr>
              <w:spacing w:before="40" w:after="40" w:line="276" w:lineRule="auto"/>
              <w:jc w:val="left"/>
            </w:pPr>
            <w:r>
              <w:rPr>
                <w:rFonts w:ascii="PingFang SC" w:hAnsi="PingFang SC" w:cs="PingFang SC" w:eastAsia="苹方-简"/>
                <w:b/>
                <w:color w:val="FFFFFF"/>
                <w:sz w:val="18"/>
              </w:rPr>
              <w:t>实施周期</w:t>
            </w:r>
          </w:p>
        </w:tc>
      </w:tr>
      <w:tr>
        <w:tc>
          <w:tcPr>
            <w:tcW w:type="dxa" w:w="1417"/>
            <w:vAlign w:val="top"/>
          </w:tcPr>
          <w:p>
            <w:pPr>
              <w:spacing w:before="40" w:after="40" w:line="288" w:lineRule="auto"/>
              <w:jc w:val="left"/>
            </w:pPr>
            <w:r>
              <w:rPr>
                <w:rFonts w:ascii="PingFang SC" w:hAnsi="PingFang SC" w:cs="PingFang SC" w:eastAsia="苹方-简"/>
                <w:b/>
                <w:sz w:val="18"/>
              </w:rPr>
              <w:t>排班 SaaS</w:t>
            </w:r>
          </w:p>
        </w:tc>
        <w:tc>
          <w:tcPr>
            <w:tcW w:type="dxa" w:w="1644"/>
            <w:vAlign w:val="top"/>
          </w:tcPr>
          <w:p>
            <w:pPr>
              <w:spacing w:before="40" w:after="40" w:line="288" w:lineRule="auto"/>
              <w:jc w:val="left"/>
            </w:pPr>
            <w:r>
              <w:rPr>
                <w:rFonts w:ascii="PingFang SC" w:hAnsi="PingFang SC" w:cs="PingFang SC" w:eastAsia="苹方-简"/>
                <w:b w:val="0"/>
                <w:sz w:val="18"/>
              </w:rPr>
              <w:t>按席位或场馆年订阅，公开价目分散（待核实）</w:t>
            </w:r>
          </w:p>
        </w:tc>
        <w:tc>
          <w:tcPr>
            <w:tcW w:type="dxa" w:w="1361"/>
            <w:vAlign w:val="top"/>
          </w:tcPr>
          <w:p>
            <w:pPr>
              <w:spacing w:before="40" w:after="40" w:line="288" w:lineRule="auto"/>
              <w:jc w:val="left"/>
            </w:pPr>
            <w:r>
              <w:rPr>
                <w:rFonts w:ascii="PingFang SC" w:hAnsi="PingFang SC" w:cs="PingFang SC" w:eastAsia="苹方-简"/>
                <w:b w:val="0"/>
                <w:sz w:val="18"/>
              </w:rPr>
              <w:t>需求—匹配—确认—通知</w:t>
            </w:r>
          </w:p>
        </w:tc>
        <w:tc>
          <w:tcPr>
            <w:tcW w:type="dxa" w:w="1587"/>
            <w:vAlign w:val="top"/>
          </w:tcPr>
          <w:p>
            <w:pPr>
              <w:spacing w:before="40" w:after="40" w:line="288" w:lineRule="auto"/>
              <w:jc w:val="left"/>
            </w:pPr>
            <w:r>
              <w:rPr>
                <w:rFonts w:ascii="PingFang SC" w:hAnsi="PingFang SC" w:cs="PingFang SC" w:eastAsia="苹方-简"/>
                <w:b w:val="0"/>
                <w:sz w:val="18"/>
              </w:rPr>
              <w:t>否：交接不在其产品模型内</w:t>
            </w:r>
          </w:p>
        </w:tc>
        <w:tc>
          <w:tcPr>
            <w:tcW w:type="dxa" w:w="1587"/>
            <w:vAlign w:val="top"/>
          </w:tcPr>
          <w:p>
            <w:pPr>
              <w:spacing w:before="40" w:after="40" w:line="288" w:lineRule="auto"/>
              <w:jc w:val="left"/>
            </w:pPr>
            <w:r>
              <w:rPr>
                <w:rFonts w:ascii="PingFang SC" w:hAnsi="PingFang SC" w:cs="PingFang SC" w:eastAsia="苹方-简"/>
                <w:b w:val="0"/>
                <w:sz w:val="18"/>
              </w:rPr>
              <w:t>部分：有操作日志，无交接证据链</w:t>
            </w:r>
          </w:p>
        </w:tc>
        <w:tc>
          <w:tcPr>
            <w:tcW w:type="dxa" w:w="1361"/>
            <w:vAlign w:val="top"/>
          </w:tcPr>
          <w:p>
            <w:pPr>
              <w:spacing w:before="40" w:after="40" w:line="288" w:lineRule="auto"/>
              <w:jc w:val="left"/>
            </w:pPr>
            <w:r>
              <w:rPr>
                <w:rFonts w:ascii="PingFang SC" w:hAnsi="PingFang SC" w:cs="PingFang SC" w:eastAsia="苹方-简"/>
                <w:b w:val="0"/>
                <w:sz w:val="18"/>
              </w:rPr>
              <w:t>2–8 周（待核实）</w:t>
            </w:r>
          </w:p>
        </w:tc>
      </w:tr>
      <w:tr>
        <w:tc>
          <w:tcPr>
            <w:tcW w:type="dxa" w:w="1417"/>
            <w:shd w:val="clear" w:color="auto" w:fill="F4F6FA"/>
            <w:vAlign w:val="top"/>
          </w:tcPr>
          <w:p>
            <w:pPr>
              <w:spacing w:before="40" w:after="40" w:line="288" w:lineRule="auto"/>
              <w:jc w:val="left"/>
            </w:pPr>
            <w:r>
              <w:rPr>
                <w:rFonts w:ascii="PingFang SC" w:hAnsi="PingFang SC" w:cs="PingFang SC" w:eastAsia="苹方-简"/>
                <w:b/>
                <w:sz w:val="18"/>
              </w:rPr>
              <w:t>人力外包</w:t>
            </w:r>
          </w:p>
        </w:tc>
        <w:tc>
          <w:tcPr>
            <w:tcW w:type="dxa" w:w="1644"/>
            <w:shd w:val="clear" w:color="auto" w:fill="F4F6FA"/>
            <w:vAlign w:val="top"/>
          </w:tcPr>
          <w:p>
            <w:pPr>
              <w:spacing w:before="40" w:after="40" w:line="288" w:lineRule="auto"/>
              <w:jc w:val="left"/>
            </w:pPr>
            <w:r>
              <w:rPr>
                <w:rFonts w:ascii="PingFang SC" w:hAnsi="PingFang SC" w:cs="PingFang SC" w:eastAsia="苹方-简"/>
                <w:b w:val="0"/>
                <w:sz w:val="18"/>
              </w:rPr>
              <w:t>按人头·班次计价，含管理费（待核实）</w:t>
            </w:r>
          </w:p>
        </w:tc>
        <w:tc>
          <w:tcPr>
            <w:tcW w:type="dxa" w:w="1361"/>
            <w:shd w:val="clear" w:color="auto" w:fill="F4F6FA"/>
            <w:vAlign w:val="top"/>
          </w:tcPr>
          <w:p>
            <w:pPr>
              <w:spacing w:before="40" w:after="40" w:line="288" w:lineRule="auto"/>
              <w:jc w:val="left"/>
            </w:pPr>
            <w:r>
              <w:rPr>
                <w:rFonts w:ascii="PingFang SC" w:hAnsi="PingFang SC" w:cs="PingFang SC" w:eastAsia="苹方-简"/>
                <w:b w:val="0"/>
                <w:sz w:val="18"/>
              </w:rPr>
              <w:t>匹配—确认—到岗</w:t>
            </w:r>
          </w:p>
        </w:tc>
        <w:tc>
          <w:tcPr>
            <w:tcW w:type="dxa" w:w="1587"/>
            <w:shd w:val="clear" w:color="auto" w:fill="F4F6FA"/>
            <w:vAlign w:val="top"/>
          </w:tcPr>
          <w:p>
            <w:pPr>
              <w:spacing w:before="40" w:after="40" w:line="288" w:lineRule="auto"/>
              <w:jc w:val="left"/>
            </w:pPr>
            <w:r>
              <w:rPr>
                <w:rFonts w:ascii="PingFang SC" w:hAnsi="PingFang SC" w:cs="PingFang SC" w:eastAsia="苹方-简"/>
                <w:b w:val="0"/>
                <w:sz w:val="18"/>
              </w:rPr>
              <w:t>合同可约定，但无系统留痕</w:t>
            </w:r>
          </w:p>
        </w:tc>
        <w:tc>
          <w:tcPr>
            <w:tcW w:type="dxa" w:w="1587"/>
            <w:shd w:val="clear" w:color="auto" w:fill="F4F6FA"/>
            <w:vAlign w:val="top"/>
          </w:tcPr>
          <w:p>
            <w:pPr>
              <w:spacing w:before="40" w:after="40" w:line="288" w:lineRule="auto"/>
              <w:jc w:val="left"/>
            </w:pPr>
            <w:r>
              <w:rPr>
                <w:rFonts w:ascii="PingFang SC" w:hAnsi="PingFang SC" w:cs="PingFang SC" w:eastAsia="苹方-简"/>
                <w:b w:val="0"/>
                <w:sz w:val="18"/>
              </w:rPr>
              <w:t>弱：依赖外包方自报</w:t>
            </w:r>
          </w:p>
        </w:tc>
        <w:tc>
          <w:tcPr>
            <w:tcW w:type="dxa" w:w="1361"/>
            <w:shd w:val="clear" w:color="auto" w:fill="F4F6FA"/>
            <w:vAlign w:val="top"/>
          </w:tcPr>
          <w:p>
            <w:pPr>
              <w:spacing w:before="40" w:after="40" w:line="288" w:lineRule="auto"/>
              <w:jc w:val="left"/>
            </w:pPr>
            <w:r>
              <w:rPr>
                <w:rFonts w:ascii="PingFang SC" w:hAnsi="PingFang SC" w:cs="PingFang SC" w:eastAsia="苹方-简"/>
                <w:b w:val="0"/>
                <w:sz w:val="18"/>
              </w:rPr>
              <w:t>1–4 周</w:t>
            </w:r>
          </w:p>
        </w:tc>
      </w:tr>
      <w:tr>
        <w:tc>
          <w:tcPr>
            <w:tcW w:type="dxa" w:w="1417"/>
            <w:vAlign w:val="top"/>
          </w:tcPr>
          <w:p>
            <w:pPr>
              <w:spacing w:before="40" w:after="40" w:line="288" w:lineRule="auto"/>
              <w:jc w:val="left"/>
            </w:pPr>
            <w:r>
              <w:rPr>
                <w:rFonts w:ascii="PingFang SC" w:hAnsi="PingFang SC" w:cs="PingFang SC" w:eastAsia="苹方-简"/>
                <w:b/>
                <w:sz w:val="18"/>
              </w:rPr>
              <w:t>自建系统</w:t>
            </w:r>
          </w:p>
        </w:tc>
        <w:tc>
          <w:tcPr>
            <w:tcW w:type="dxa" w:w="1644"/>
            <w:vAlign w:val="top"/>
          </w:tcPr>
          <w:p>
            <w:pPr>
              <w:spacing w:before="40" w:after="40" w:line="288" w:lineRule="auto"/>
              <w:jc w:val="left"/>
            </w:pPr>
            <w:r>
              <w:rPr>
                <w:rFonts w:ascii="PingFang SC" w:hAnsi="PingFang SC" w:cs="PingFang SC" w:eastAsia="苹方-简"/>
                <w:b w:val="0"/>
                <w:sz w:val="18"/>
              </w:rPr>
              <w:t>一次性建设 + 年运维（待核实）</w:t>
            </w:r>
          </w:p>
        </w:tc>
        <w:tc>
          <w:tcPr>
            <w:tcW w:type="dxa" w:w="1361"/>
            <w:vAlign w:val="top"/>
          </w:tcPr>
          <w:p>
            <w:pPr>
              <w:spacing w:before="40" w:after="40" w:line="288" w:lineRule="auto"/>
              <w:jc w:val="left"/>
            </w:pPr>
            <w:r>
              <w:rPr>
                <w:rFonts w:ascii="PingFang SC" w:hAnsi="PingFang SC" w:cs="PingFang SC" w:eastAsia="苹方-简"/>
                <w:b w:val="0"/>
                <w:sz w:val="18"/>
              </w:rPr>
              <w:t>可全覆盖，取决于建设范围</w:t>
            </w:r>
          </w:p>
        </w:tc>
        <w:tc>
          <w:tcPr>
            <w:tcW w:type="dxa" w:w="1587"/>
            <w:vAlign w:val="top"/>
          </w:tcPr>
          <w:p>
            <w:pPr>
              <w:spacing w:before="40" w:after="40" w:line="288" w:lineRule="auto"/>
              <w:jc w:val="left"/>
            </w:pPr>
            <w:r>
              <w:rPr>
                <w:rFonts w:ascii="PingFang SC" w:hAnsi="PingFang SC" w:cs="PingFang SC" w:eastAsia="苹方-简"/>
                <w:b w:val="0"/>
                <w:sz w:val="18"/>
              </w:rPr>
              <w:t>可以，但需自行定义</w:t>
            </w:r>
          </w:p>
        </w:tc>
        <w:tc>
          <w:tcPr>
            <w:tcW w:type="dxa" w:w="1587"/>
            <w:vAlign w:val="top"/>
          </w:tcPr>
          <w:p>
            <w:pPr>
              <w:spacing w:before="40" w:after="40" w:line="288" w:lineRule="auto"/>
              <w:jc w:val="left"/>
            </w:pPr>
            <w:r>
              <w:rPr>
                <w:rFonts w:ascii="PingFang SC" w:hAnsi="PingFang SC" w:cs="PingFang SC" w:eastAsia="苹方-简"/>
                <w:b w:val="0"/>
                <w:sz w:val="18"/>
              </w:rPr>
              <w:t>可以，取决于建设质量</w:t>
            </w:r>
          </w:p>
        </w:tc>
        <w:tc>
          <w:tcPr>
            <w:tcW w:type="dxa" w:w="1361"/>
            <w:vAlign w:val="top"/>
          </w:tcPr>
          <w:p>
            <w:pPr>
              <w:spacing w:before="40" w:after="40" w:line="288" w:lineRule="auto"/>
              <w:jc w:val="left"/>
            </w:pPr>
            <w:r>
              <w:rPr>
                <w:rFonts w:ascii="PingFang SC" w:hAnsi="PingFang SC" w:cs="PingFang SC" w:eastAsia="苹方-简"/>
                <w:b w:val="0"/>
                <w:sz w:val="18"/>
              </w:rPr>
              <w:t>6–18 个月（待核实）</w:t>
            </w:r>
          </w:p>
        </w:tc>
      </w:tr>
      <w:tr>
        <w:tc>
          <w:tcPr>
            <w:tcW w:type="dxa" w:w="1417"/>
            <w:shd w:val="clear" w:color="auto" w:fill="F4F6FA"/>
            <w:vAlign w:val="top"/>
          </w:tcPr>
          <w:p>
            <w:pPr>
              <w:spacing w:before="40" w:after="40" w:line="288" w:lineRule="auto"/>
              <w:jc w:val="left"/>
            </w:pPr>
            <w:r>
              <w:rPr>
                <w:rFonts w:ascii="PingFang SC" w:hAnsi="PingFang SC" w:cs="PingFang SC" w:eastAsia="苹方-简"/>
                <w:b/>
                <w:sz w:val="18"/>
              </w:rPr>
              <w:t>本项目（只读核对）</w:t>
            </w:r>
          </w:p>
        </w:tc>
        <w:tc>
          <w:tcPr>
            <w:tcW w:type="dxa" w:w="1644"/>
            <w:shd w:val="clear" w:color="auto" w:fill="F4F6FA"/>
            <w:vAlign w:val="top"/>
          </w:tcPr>
          <w:p>
            <w:pPr>
              <w:spacing w:before="40" w:after="40" w:line="288" w:lineRule="auto"/>
              <w:jc w:val="left"/>
            </w:pPr>
            <w:r>
              <w:rPr>
                <w:rFonts w:ascii="PingFang SC" w:hAnsi="PingFang SC" w:cs="PingFang SC" w:eastAsia="苹方-简"/>
                <w:b w:val="0"/>
                <w:sz w:val="18"/>
              </w:rPr>
              <w:t>试点包 ¥198,000 + 浮动 ≤¥60,000（报价单示例口径）</w:t>
            </w:r>
          </w:p>
        </w:tc>
        <w:tc>
          <w:tcPr>
            <w:tcW w:type="dxa" w:w="1361"/>
            <w:shd w:val="clear" w:color="auto" w:fill="F4F6FA"/>
            <w:vAlign w:val="top"/>
          </w:tcPr>
          <w:p>
            <w:pPr>
              <w:spacing w:before="40" w:after="40" w:line="288" w:lineRule="auto"/>
              <w:jc w:val="left"/>
            </w:pPr>
            <w:r>
              <w:rPr>
                <w:rFonts w:ascii="PingFang SC" w:hAnsi="PingFang SC" w:cs="PingFang SC" w:eastAsia="苹方-简"/>
                <w:b w:val="0"/>
                <w:sz w:val="18"/>
              </w:rPr>
              <w:t>签到—交接—复核—复盘</w:t>
            </w:r>
          </w:p>
        </w:tc>
        <w:tc>
          <w:tcPr>
            <w:tcW w:type="dxa" w:w="1587"/>
            <w:shd w:val="clear" w:color="auto" w:fill="F4F6FA"/>
            <w:vAlign w:val="top"/>
          </w:tcPr>
          <w:p>
            <w:pPr>
              <w:spacing w:before="40" w:after="40" w:line="288" w:lineRule="auto"/>
              <w:jc w:val="left"/>
            </w:pPr>
            <w:r>
              <w:rPr>
                <w:rFonts w:ascii="PingFang SC" w:hAnsi="PingFang SC" w:cs="PingFang SC" w:eastAsia="苹方-简"/>
                <w:b w:val="0"/>
                <w:sz w:val="18"/>
              </w:rPr>
              <w:t>是：交接责任清单，只给信号不下结论</w:t>
            </w:r>
          </w:p>
        </w:tc>
        <w:tc>
          <w:tcPr>
            <w:tcW w:type="dxa" w:w="1587"/>
            <w:shd w:val="clear" w:color="auto" w:fill="F4F6FA"/>
            <w:vAlign w:val="top"/>
          </w:tcPr>
          <w:p>
            <w:pPr>
              <w:spacing w:before="40" w:after="40" w:line="288" w:lineRule="auto"/>
              <w:jc w:val="left"/>
            </w:pPr>
            <w:r>
              <w:rPr>
                <w:rFonts w:ascii="PingFang SC" w:hAnsi="PingFang SC" w:cs="PingFang SC" w:eastAsia="苹方-简"/>
                <w:b w:val="0"/>
                <w:sz w:val="18"/>
              </w:rPr>
              <w:t>是：快照 + 审计 + 文件#行号</w:t>
            </w:r>
          </w:p>
        </w:tc>
        <w:tc>
          <w:tcPr>
            <w:tcW w:type="dxa" w:w="1361"/>
            <w:shd w:val="clear" w:color="auto" w:fill="F4F6FA"/>
            <w:vAlign w:val="top"/>
          </w:tcPr>
          <w:p>
            <w:pPr>
              <w:spacing w:before="40" w:after="40" w:line="288" w:lineRule="auto"/>
              <w:jc w:val="left"/>
            </w:pPr>
            <w:r>
              <w:rPr>
                <w:rFonts w:ascii="PingFang SC" w:hAnsi="PingFang SC" w:cs="PingFang SC" w:eastAsia="苹方-简"/>
                <w:b w:val="0"/>
                <w:sz w:val="18"/>
              </w:rPr>
              <w:t>2–4 周进现场（试点口径）</w:t>
            </w:r>
          </w:p>
        </w:tc>
      </w:tr>
    </w:tbl>
    <w:p>
      <w:pPr>
        <w:spacing w:before="0" w:after="40" w:line="240" w:lineRule="auto"/>
      </w:pPr>
      <w:r>
        <w:rPr>
          <w:rFonts w:ascii="PingFang SC" w:hAnsi="PingFang SC" w:cs="PingFang SC" w:eastAsia="苹方-简"/>
          <w:sz w:val="8"/>
        </w:rPr>
      </w:r>
    </w:p>
    <w:p>
      <w:pPr>
        <w:spacing w:before="0" w:after="100" w:line="348" w:lineRule="auto"/>
        <w:ind w:firstLine="420"/>
      </w:pPr>
      <w:r>
        <w:rPr>
          <w:rFonts w:ascii="PingFang SC" w:hAnsi="PingFang SC" w:cs="PingFang SC" w:eastAsia="苹方-简"/>
          <w:sz w:val="21"/>
        </w:rPr>
        <w:t>排班 SaaS 与人力外包把“人到位”当作终点，交接只是流程里的一句话；自建系统的能力上限取决于客户自身的流程成熟度，建设周期与维护成本也最高。本项目的优势恰恰是窄：因为窄，才能在两周级进现场，才能把责任边界写进合同。窄也是它的天花板——它不替代排班，也不替代现场指挥；客户若期待“一个系统全包”，它一定不合格。</w:t>
      </w:r>
    </w:p>
    <w:p>
      <w:pPr>
        <w:pStyle w:val="Heading1"/>
        <w:pBdr>
          <w:bottom w:val="single" w:sz="6" w:space="3" w:color="C9D3E0"/>
        </w:pBdr>
      </w:pPr>
      <w:r>
        <w:rPr>
          <w:rFonts w:ascii="PingFang SC" w:hAnsi="PingFang SC" w:cs="PingFang SC" w:eastAsia="苹方-简"/>
          <w:b/>
          <w:color w:val="1F3864"/>
          <w:sz w:val="30"/>
        </w:rPr>
        <w:t>7  对本项目的含义</w:t>
      </w:r>
    </w:p>
    <w:p>
      <w:pPr>
        <w:pStyle w:val="Heading2"/>
      </w:pPr>
      <w:r>
        <w:rPr>
          <w:rFonts w:ascii="PingFang SC" w:hAnsi="PingFang SC" w:cs="PingFang SC" w:eastAsia="苹方-简"/>
          <w:b/>
          <w:color w:val="2E5496"/>
          <w:sz w:val="24"/>
        </w:rPr>
        <w:t>7.1  机会点</w:t>
      </w:r>
    </w:p>
    <w:p>
      <w:pPr>
        <w:spacing w:before="0" w:after="100" w:line="348" w:lineRule="auto"/>
      </w:pPr>
      <w:r>
        <w:rPr>
          <w:rFonts w:ascii="PingFang SC" w:hAnsi="PingFang SC" w:cs="PingFang SC" w:eastAsia="苹方-简"/>
          <w:sz w:val="21"/>
        </w:rPr>
        <w:t>（1）合规窗口。志愿服务记录、最小必要、自动化决策可说明三条要求同时收紧，“只读 + 留痕 + 人签字”从加分项变成入场券。而这三件事恰好是本项目代码边界（禁用能力清单、三值逻辑、复核必须有复核人）已经实现的部分，不需要为合规重做架构。</w:t>
      </w:r>
    </w:p>
    <w:p>
      <w:pPr>
        <w:spacing w:before="0" w:after="100" w:line="348" w:lineRule="auto"/>
      </w:pPr>
      <w:r>
        <w:rPr>
          <w:rFonts w:ascii="PingFang SC" w:hAnsi="PingFang SC" w:cs="PingFang SC" w:eastAsia="苹方-简"/>
          <w:sz w:val="21"/>
        </w:rPr>
        <w:t>（2）采购语言变化。客户开始用“能不能审计”“结论依据哪一版”提问，而不是“有没有大屏”。这把竞争从功能清单拉回证据链，弱化了与大厂排班产品的正面比价。</w:t>
      </w:r>
    </w:p>
    <w:p>
      <w:pPr>
        <w:spacing w:before="0" w:after="100" w:line="348" w:lineRule="auto"/>
      </w:pPr>
      <w:r>
        <w:rPr>
          <w:rFonts w:ascii="PingFang SC" w:hAnsi="PingFang SC" w:cs="PingFang SC" w:eastAsia="苹方-简"/>
          <w:sz w:val="21"/>
        </w:rPr>
        <w:t>（3）方法可复制。双时间戳、关联编号、快照与审计、金标与召回，这套方法不依赖赛事行业，可平移到会展搭建、物资补给、安保巡检等同样“多表对不上”的场景，边际交付成本递减。</w:t>
      </w:r>
    </w:p>
    <w:p>
      <w:pPr>
        <w:pStyle w:val="Heading2"/>
      </w:pPr>
      <w:r>
        <w:rPr>
          <w:rFonts w:ascii="PingFang SC" w:hAnsi="PingFang SC" w:cs="PingFang SC" w:eastAsia="苹方-简"/>
          <w:b/>
          <w:color w:val="2E5496"/>
          <w:sz w:val="24"/>
        </w:rPr>
        <w:t>7.2  风险点</w:t>
      </w:r>
    </w:p>
    <w:p>
      <w:pPr>
        <w:spacing w:before="0" w:after="100" w:line="348" w:lineRule="auto"/>
      </w:pPr>
      <w:r>
        <w:rPr>
          <w:rFonts w:ascii="PingFang SC" w:hAnsi="PingFang SC" w:cs="PingFang SC" w:eastAsia="苹方-简"/>
          <w:sz w:val="21"/>
        </w:rPr>
        <w:t>（1）窄场景的天花板。只读核对不产生日常活跃，试点结束后客户容易失去续费理由；若“每批次必跑”不能变成制度动作，工具会被自然遗忘。</w:t>
      </w:r>
    </w:p>
    <w:p>
      <w:pPr>
        <w:spacing w:before="0" w:after="100" w:line="348" w:lineRule="auto"/>
      </w:pPr>
      <w:r>
        <w:rPr>
          <w:rFonts w:ascii="PingFang SC" w:hAnsi="PingFang SC" w:cs="PingFang SC" w:eastAsia="苹方-简"/>
          <w:sz w:val="21"/>
        </w:rPr>
        <w:t>（2）基线与归因的脆弱。效果浮动依赖 H0/H1 同口径复测，客户换人、换批次密度、换统计口径都会让数字失真；基线一旦不被承认，浮动条款就退化成一次性固定价。</w:t>
      </w:r>
    </w:p>
    <w:p>
      <w:pPr>
        <w:spacing w:before="0" w:after="100" w:line="348" w:lineRule="auto"/>
      </w:pPr>
      <w:r>
        <w:rPr>
          <w:rFonts w:ascii="PingFang SC" w:hAnsi="PingFang SC" w:cs="PingFang SC" w:eastAsia="苹方-简"/>
          <w:sz w:val="21"/>
        </w:rPr>
        <w:t>（3）责任外溢的诱惑。客户最想买的是“你替我判定交接完成”，而这正是本项目明确不做的。销售压力下若松口，工具就从“提示”变成“决策”，合规风险与责任同时上升。</w:t>
      </w:r>
    </w:p>
    <w:p>
      <w:pPr>
        <w:pStyle w:val="Heading2"/>
      </w:pPr>
      <w:r>
        <w:rPr>
          <w:rFonts w:ascii="PingFang SC" w:hAnsi="PingFang SC" w:cs="PingFang SC" w:eastAsia="苹方-简"/>
          <w:b/>
          <w:color w:val="2E5496"/>
          <w:sz w:val="24"/>
        </w:rPr>
        <w:t>7.3  对报价与范围的影响</w:t>
      </w:r>
    </w:p>
    <w:p>
      <w:pPr>
        <w:spacing w:before="0" w:after="100" w:line="348" w:lineRule="auto"/>
      </w:pPr>
      <w:r>
        <w:rPr>
          <w:rFonts w:ascii="PingFang SC" w:hAnsi="PingFang SC" w:cs="PingFang SC" w:eastAsia="苹方-简"/>
          <w:sz w:val="21"/>
        </w:rPr>
        <w:t>（1）坚持“基础费 + 效果浮动”，且浮动只挂核对工时。QUOTATION.md 把上限写死为 ¥60,000、比例 20%、H1 ≥ H0 时归零不倒扣，目的正是把归因不干净的指标挡在公式外。效果付费的失败，多数不是比例谈不拢，而是指标选错。</w:t>
      </w:r>
    </w:p>
    <w:p>
      <w:pPr>
        <w:spacing w:before="0" w:after="100" w:line="348" w:lineRule="auto"/>
      </w:pPr>
      <w:r>
        <w:rPr>
          <w:rFonts w:ascii="PingFang SC" w:hAnsi="PingFang SC" w:cs="PingFang SC" w:eastAsia="苹方-简"/>
          <w:sz w:val="21"/>
        </w:rPr>
        <w:t>（2）范围写死“不含写回、外发、自动指派”。这既是能力边界，也是报价的护城河——不承接写回，就不必承担接口改造与数据一致性责任，33 人天的闭口包才成立。</w:t>
      </w:r>
    </w:p>
    <w:p>
      <w:pPr>
        <w:spacing w:before="0" w:after="100" w:line="348" w:lineRule="auto"/>
      </w:pPr>
      <w:r>
        <w:rPr>
          <w:rFonts w:ascii="PingFang SC" w:hAnsi="PingFang SC" w:cs="PingFang SC" w:eastAsia="苹方-简"/>
          <w:sz w:val="21"/>
        </w:rPr>
        <w:t>（3）用“三年回本”管理预期。只算核对工时（示例 H0 = 18 h/批次、H1 = 9 h/批次、40 批次、¥180/人·小时，年省 ¥64,800），回本约 3 年。这不是把投诉与返工都算进去的“三个月回本”故事，而是能力投资口径；提前讲清楚，第一年才不会被问“为什么还没省出钱”。</w:t>
      </w:r>
    </w:p>
    <w:p>
      <w:pPr>
        <w:keepNext/>
        <w:spacing w:before="200" w:after="60"/>
        <w:jc w:val="left"/>
      </w:pPr>
      <w:r>
        <w:rPr>
          <w:rFonts w:ascii="PingFang SC" w:hAnsi="PingFang SC" w:cs="PingFang SC" w:eastAsia="苹方-简"/>
          <w:b/>
          <w:color w:val="1F3864"/>
          <w:sz w:val="18"/>
        </w:rPr>
        <w:t>表 3  四条趋势及其对本项目报价与范围的影响</w:t>
      </w:r>
    </w:p>
    <w:tbl>
      <w:tblPr>
        <w:tblStyle w:val="TableGrid"/>
        <w:tblW w:type="dxa" w:w="8958"/>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60" w:type="dxa"/>
          <w:left w:w="90" w:type="dxa"/>
          <w:bottom w:w="60" w:type="dxa"/>
          <w:right w:w="90" w:type="dxa"/>
        </w:tblCellMar>
        <w:tblLook w:firstColumn="1" w:firstRow="1" w:lastColumn="0" w:lastRow="0" w:noHBand="0" w:noVBand="1" w:val="04A0"/>
      </w:tblPr>
      <w:tblGrid>
        <w:gridCol w:w="2239"/>
        <w:gridCol w:w="2239"/>
        <w:gridCol w:w="2239"/>
        <w:gridCol w:w="2239"/>
      </w:tblGrid>
      <w:tr>
        <w:trPr>
          <w:cantSplit w:val="true"/>
          <w:tblHeader w:val="true"/>
        </w:trPr>
        <w:tc>
          <w:tcPr>
            <w:tcW w:type="dxa" w:w="1928"/>
            <w:shd w:val="clear" w:color="auto" w:fill="1F3864"/>
            <w:vAlign w:val="center"/>
          </w:tcPr>
          <w:p>
            <w:pPr>
              <w:spacing w:before="40" w:after="40" w:line="276" w:lineRule="auto"/>
              <w:jc w:val="left"/>
            </w:pPr>
            <w:r>
              <w:rPr>
                <w:rFonts w:ascii="PingFang SC" w:hAnsi="PingFang SC" w:cs="PingFang SC" w:eastAsia="苹方-简"/>
                <w:b/>
                <w:color w:val="FFFFFF"/>
                <w:sz w:val="18"/>
              </w:rPr>
              <w:t>趋势</w:t>
            </w:r>
          </w:p>
        </w:tc>
        <w:tc>
          <w:tcPr>
            <w:tcW w:type="dxa" w:w="2381"/>
            <w:shd w:val="clear" w:color="auto" w:fill="1F3864"/>
            <w:vAlign w:val="center"/>
          </w:tcPr>
          <w:p>
            <w:pPr>
              <w:spacing w:before="40" w:after="40" w:line="276" w:lineRule="auto"/>
              <w:jc w:val="left"/>
            </w:pPr>
            <w:r>
              <w:rPr>
                <w:rFonts w:ascii="PingFang SC" w:hAnsi="PingFang SC" w:cs="PingFang SC" w:eastAsia="苹方-简"/>
                <w:b/>
                <w:color w:val="FFFFFF"/>
                <w:sz w:val="18"/>
              </w:rPr>
              <w:t>客户采购语言的变化</w:t>
            </w:r>
          </w:p>
        </w:tc>
        <w:tc>
          <w:tcPr>
            <w:tcW w:type="dxa" w:w="2608"/>
            <w:shd w:val="clear" w:color="auto" w:fill="1F3864"/>
            <w:vAlign w:val="center"/>
          </w:tcPr>
          <w:p>
            <w:pPr>
              <w:spacing w:before="40" w:after="40" w:line="276" w:lineRule="auto"/>
              <w:jc w:val="left"/>
            </w:pPr>
            <w:r>
              <w:rPr>
                <w:rFonts w:ascii="PingFang SC" w:hAnsi="PingFang SC" w:cs="PingFang SC" w:eastAsia="苹方-简"/>
                <w:b/>
                <w:color w:val="FFFFFF"/>
                <w:sz w:val="18"/>
              </w:rPr>
              <w:t>对本项目的含义</w:t>
            </w:r>
          </w:p>
        </w:tc>
        <w:tc>
          <w:tcPr>
            <w:tcW w:type="dxa" w:w="2041"/>
            <w:shd w:val="clear" w:color="auto" w:fill="1F3864"/>
            <w:vAlign w:val="center"/>
          </w:tcPr>
          <w:p>
            <w:pPr>
              <w:spacing w:before="40" w:after="40" w:line="276" w:lineRule="auto"/>
              <w:jc w:val="left"/>
            </w:pPr>
            <w:r>
              <w:rPr>
                <w:rFonts w:ascii="PingFang SC" w:hAnsi="PingFang SC" w:cs="PingFang SC" w:eastAsia="苹方-简"/>
                <w:b/>
                <w:color w:val="FFFFFF"/>
                <w:sz w:val="18"/>
              </w:rPr>
              <w:t>报价与范围动作</w:t>
            </w:r>
          </w:p>
        </w:tc>
      </w:tr>
      <w:tr>
        <w:tc>
          <w:tcPr>
            <w:tcW w:type="dxa" w:w="1928"/>
            <w:vAlign w:val="top"/>
          </w:tcPr>
          <w:p>
            <w:pPr>
              <w:spacing w:before="40" w:after="40" w:line="288" w:lineRule="auto"/>
              <w:jc w:val="left"/>
            </w:pPr>
            <w:r>
              <w:rPr>
                <w:rFonts w:ascii="PingFang SC" w:hAnsi="PingFang SC" w:cs="PingFang SC" w:eastAsia="苹方-简"/>
                <w:b/>
                <w:sz w:val="18"/>
              </w:rPr>
              <w:t>只读集成替代写回</w:t>
            </w:r>
          </w:p>
        </w:tc>
        <w:tc>
          <w:tcPr>
            <w:tcW w:type="dxa" w:w="2381"/>
            <w:vAlign w:val="top"/>
          </w:tcPr>
          <w:p>
            <w:pPr>
              <w:spacing w:before="40" w:after="40" w:line="288" w:lineRule="auto"/>
              <w:jc w:val="left"/>
            </w:pPr>
            <w:r>
              <w:rPr>
                <w:rFonts w:ascii="PingFang SC" w:hAnsi="PingFang SC" w:cs="PingFang SC" w:eastAsia="苹方-简"/>
                <w:b w:val="0"/>
                <w:sz w:val="18"/>
              </w:rPr>
              <w:t>“能不能不动我们的现有系统？”</w:t>
            </w:r>
          </w:p>
        </w:tc>
        <w:tc>
          <w:tcPr>
            <w:tcW w:type="dxa" w:w="2608"/>
            <w:vAlign w:val="top"/>
          </w:tcPr>
          <w:p>
            <w:pPr>
              <w:spacing w:before="40" w:after="40" w:line="288" w:lineRule="auto"/>
              <w:jc w:val="left"/>
            </w:pPr>
            <w:r>
              <w:rPr>
                <w:rFonts w:ascii="PingFang SC" w:hAnsi="PingFang SC" w:cs="PingFang SC" w:eastAsia="苹方-简"/>
                <w:b w:val="0"/>
                <w:sz w:val="18"/>
              </w:rPr>
              <w:t>落地阻力最小，责任边界最清</w:t>
            </w:r>
          </w:p>
        </w:tc>
        <w:tc>
          <w:tcPr>
            <w:tcW w:type="dxa" w:w="2041"/>
            <w:vAlign w:val="top"/>
          </w:tcPr>
          <w:p>
            <w:pPr>
              <w:spacing w:before="40" w:after="40" w:line="288" w:lineRule="auto"/>
              <w:jc w:val="left"/>
            </w:pPr>
            <w:r>
              <w:rPr>
                <w:rFonts w:ascii="PingFang SC" w:hAnsi="PingFang SC" w:cs="PingFang SC" w:eastAsia="苹方-简"/>
                <w:b w:val="0"/>
                <w:sz w:val="18"/>
              </w:rPr>
              <w:t>合同写明不含写回与接口改造</w:t>
            </w:r>
          </w:p>
        </w:tc>
      </w:tr>
      <w:tr>
        <w:tc>
          <w:tcPr>
            <w:tcW w:type="dxa" w:w="1928"/>
            <w:shd w:val="clear" w:color="auto" w:fill="F4F6FA"/>
            <w:vAlign w:val="top"/>
          </w:tcPr>
          <w:p>
            <w:pPr>
              <w:spacing w:before="40" w:after="40" w:line="288" w:lineRule="auto"/>
              <w:jc w:val="left"/>
            </w:pPr>
            <w:r>
              <w:rPr>
                <w:rFonts w:ascii="PingFang SC" w:hAnsi="PingFang SC" w:cs="PingFang SC" w:eastAsia="苹方-简"/>
                <w:b/>
                <w:sz w:val="18"/>
              </w:rPr>
              <w:t>审计留痕成为硬指标</w:t>
            </w:r>
          </w:p>
        </w:tc>
        <w:tc>
          <w:tcPr>
            <w:tcW w:type="dxa" w:w="2381"/>
            <w:shd w:val="clear" w:color="auto" w:fill="F4F6FA"/>
            <w:vAlign w:val="top"/>
          </w:tcPr>
          <w:p>
            <w:pPr>
              <w:spacing w:before="40" w:after="40" w:line="288" w:lineRule="auto"/>
              <w:jc w:val="left"/>
            </w:pPr>
            <w:r>
              <w:rPr>
                <w:rFonts w:ascii="PingFang SC" w:hAnsi="PingFang SC" w:cs="PingFang SC" w:eastAsia="苹方-简"/>
                <w:b w:val="0"/>
                <w:sz w:val="18"/>
              </w:rPr>
              <w:t>“这条结论依据哪一版数据？”</w:t>
            </w:r>
          </w:p>
        </w:tc>
        <w:tc>
          <w:tcPr>
            <w:tcW w:type="dxa" w:w="2608"/>
            <w:shd w:val="clear" w:color="auto" w:fill="F4F6FA"/>
            <w:vAlign w:val="top"/>
          </w:tcPr>
          <w:p>
            <w:pPr>
              <w:spacing w:before="40" w:after="40" w:line="288" w:lineRule="auto"/>
              <w:jc w:val="left"/>
            </w:pPr>
            <w:r>
              <w:rPr>
                <w:rFonts w:ascii="PingFang SC" w:hAnsi="PingFang SC" w:cs="PingFang SC" w:eastAsia="苹方-简"/>
                <w:b w:val="0"/>
                <w:sz w:val="18"/>
              </w:rPr>
              <w:t>快照、审计、文件#行号是核心卖点</w:t>
            </w:r>
          </w:p>
        </w:tc>
        <w:tc>
          <w:tcPr>
            <w:tcW w:type="dxa" w:w="2041"/>
            <w:shd w:val="clear" w:color="auto" w:fill="F4F6FA"/>
            <w:vAlign w:val="top"/>
          </w:tcPr>
          <w:p>
            <w:pPr>
              <w:spacing w:before="40" w:after="40" w:line="288" w:lineRule="auto"/>
              <w:jc w:val="left"/>
            </w:pPr>
            <w:r>
              <w:rPr>
                <w:rFonts w:ascii="PingFang SC" w:hAnsi="PingFang SC" w:cs="PingFang SC" w:eastAsia="苹方-简"/>
                <w:b w:val="0"/>
                <w:sz w:val="18"/>
              </w:rPr>
              <w:t>审计能力计入基础费，不单列</w:t>
            </w:r>
          </w:p>
        </w:tc>
      </w:tr>
      <w:tr>
        <w:tc>
          <w:tcPr>
            <w:tcW w:type="dxa" w:w="1928"/>
            <w:vAlign w:val="top"/>
          </w:tcPr>
          <w:p>
            <w:pPr>
              <w:spacing w:before="40" w:after="40" w:line="288" w:lineRule="auto"/>
              <w:jc w:val="left"/>
            </w:pPr>
            <w:r>
              <w:rPr>
                <w:rFonts w:ascii="PingFang SC" w:hAnsi="PingFang SC" w:cs="PingFang SC" w:eastAsia="苹方-简"/>
                <w:b/>
                <w:sz w:val="18"/>
              </w:rPr>
              <w:t>AI 起草 + 人签字</w:t>
            </w:r>
          </w:p>
        </w:tc>
        <w:tc>
          <w:tcPr>
            <w:tcW w:type="dxa" w:w="2381"/>
            <w:vAlign w:val="top"/>
          </w:tcPr>
          <w:p>
            <w:pPr>
              <w:spacing w:before="40" w:after="40" w:line="288" w:lineRule="auto"/>
              <w:jc w:val="left"/>
            </w:pPr>
            <w:r>
              <w:rPr>
                <w:rFonts w:ascii="PingFang SC" w:hAnsi="PingFang SC" w:cs="PingFang SC" w:eastAsia="苹方-简"/>
                <w:b w:val="0"/>
                <w:sz w:val="18"/>
              </w:rPr>
              <w:t>“AI 能不能别自己下结论？”</w:t>
            </w:r>
          </w:p>
        </w:tc>
        <w:tc>
          <w:tcPr>
            <w:tcW w:type="dxa" w:w="2608"/>
            <w:vAlign w:val="top"/>
          </w:tcPr>
          <w:p>
            <w:pPr>
              <w:spacing w:before="40" w:after="40" w:line="288" w:lineRule="auto"/>
              <w:jc w:val="left"/>
            </w:pPr>
            <w:r>
              <w:rPr>
                <w:rFonts w:ascii="PingFang SC" w:hAnsi="PingFang SC" w:cs="PingFang SC" w:eastAsia="苹方-简"/>
                <w:b w:val="0"/>
                <w:sz w:val="18"/>
              </w:rPr>
              <w:t>与监管方向一致，降低合规摩擦</w:t>
            </w:r>
          </w:p>
        </w:tc>
        <w:tc>
          <w:tcPr>
            <w:tcW w:type="dxa" w:w="2041"/>
            <w:vAlign w:val="top"/>
          </w:tcPr>
          <w:p>
            <w:pPr>
              <w:spacing w:before="40" w:after="40" w:line="288" w:lineRule="auto"/>
              <w:jc w:val="left"/>
            </w:pPr>
            <w:r>
              <w:rPr>
                <w:rFonts w:ascii="PingFang SC" w:hAnsi="PingFang SC" w:cs="PingFang SC" w:eastAsia="苹方-简"/>
                <w:b w:val="0"/>
                <w:sz w:val="18"/>
              </w:rPr>
              <w:t>签字缺失即结论不生效，写入验收</w:t>
            </w:r>
          </w:p>
        </w:tc>
      </w:tr>
      <w:tr>
        <w:tc>
          <w:tcPr>
            <w:tcW w:type="dxa" w:w="1928"/>
            <w:shd w:val="clear" w:color="auto" w:fill="F4F6FA"/>
            <w:vAlign w:val="top"/>
          </w:tcPr>
          <w:p>
            <w:pPr>
              <w:spacing w:before="40" w:after="40" w:line="288" w:lineRule="auto"/>
              <w:jc w:val="left"/>
            </w:pPr>
            <w:r>
              <w:rPr>
                <w:rFonts w:ascii="PingFang SC" w:hAnsi="PingFang SC" w:cs="PingFang SC" w:eastAsia="苹方-简"/>
                <w:b/>
                <w:sz w:val="18"/>
              </w:rPr>
              <w:t>按效果付费</w:t>
            </w:r>
          </w:p>
        </w:tc>
        <w:tc>
          <w:tcPr>
            <w:tcW w:type="dxa" w:w="2381"/>
            <w:shd w:val="clear" w:color="auto" w:fill="F4F6FA"/>
            <w:vAlign w:val="top"/>
          </w:tcPr>
          <w:p>
            <w:pPr>
              <w:spacing w:before="40" w:after="40" w:line="288" w:lineRule="auto"/>
              <w:jc w:val="left"/>
            </w:pPr>
            <w:r>
              <w:rPr>
                <w:rFonts w:ascii="PingFang SC" w:hAnsi="PingFang SC" w:cs="PingFang SC" w:eastAsia="苹方-简"/>
                <w:b w:val="0"/>
                <w:sz w:val="18"/>
              </w:rPr>
              <w:t>“省下来的钱怎么分？”</w:t>
            </w:r>
          </w:p>
        </w:tc>
        <w:tc>
          <w:tcPr>
            <w:tcW w:type="dxa" w:w="2608"/>
            <w:shd w:val="clear" w:color="auto" w:fill="F4F6FA"/>
            <w:vAlign w:val="top"/>
          </w:tcPr>
          <w:p>
            <w:pPr>
              <w:spacing w:before="40" w:after="40" w:line="288" w:lineRule="auto"/>
              <w:jc w:val="left"/>
            </w:pPr>
            <w:r>
              <w:rPr>
                <w:rFonts w:ascii="PingFang SC" w:hAnsi="PingFang SC" w:cs="PingFang SC" w:eastAsia="苹方-简"/>
                <w:b w:val="0"/>
                <w:sz w:val="18"/>
              </w:rPr>
              <w:t>只有核对工时能进公式</w:t>
            </w:r>
          </w:p>
        </w:tc>
        <w:tc>
          <w:tcPr>
            <w:tcW w:type="dxa" w:w="2041"/>
            <w:shd w:val="clear" w:color="auto" w:fill="F4F6FA"/>
            <w:vAlign w:val="top"/>
          </w:tcPr>
          <w:p>
            <w:pPr>
              <w:spacing w:before="40" w:after="40" w:line="288" w:lineRule="auto"/>
              <w:jc w:val="left"/>
            </w:pPr>
            <w:r>
              <w:rPr>
                <w:rFonts w:ascii="PingFang SC" w:hAnsi="PingFang SC" w:cs="PingFang SC" w:eastAsia="苹方-简"/>
                <w:b w:val="0"/>
                <w:sz w:val="18"/>
              </w:rPr>
              <w:t>浮动 ≤¥60,000、20%、不倒扣</w:t>
            </w:r>
          </w:p>
        </w:tc>
      </w:tr>
    </w:tbl>
    <w:p>
      <w:pPr>
        <w:spacing w:before="0" w:after="40" w:line="240" w:lineRule="auto"/>
      </w:pPr>
      <w:r>
        <w:rPr>
          <w:rFonts w:ascii="PingFang SC" w:hAnsi="PingFang SC" w:cs="PingFang SC" w:eastAsia="苹方-简"/>
          <w:sz w:val="8"/>
        </w:rPr>
      </w:r>
    </w:p>
    <w:p>
      <w:pPr>
        <w:pStyle w:val="Heading1"/>
        <w:pBdr>
          <w:bottom w:val="single" w:sz="6" w:space="3" w:color="C9D3E0"/>
        </w:pBdr>
      </w:pPr>
      <w:r>
        <w:rPr>
          <w:rFonts w:ascii="PingFang SC" w:hAnsi="PingFang SC" w:cs="PingFang SC" w:eastAsia="苹方-简"/>
          <w:b/>
          <w:color w:val="1F3864"/>
          <w:sz w:val="30"/>
        </w:rPr>
        <w:t>8  参考来源</w:t>
      </w:r>
    </w:p>
    <w:p>
      <w:pPr>
        <w:spacing w:before="0" w:after="60" w:line="300" w:lineRule="auto"/>
        <w:ind w:left="442" w:hanging="442"/>
      </w:pPr>
      <w:r>
        <w:rPr>
          <w:rFonts w:ascii="PingFang SC" w:hAnsi="PingFang SC" w:cs="PingFang SC" w:eastAsia="苹方-简"/>
          <w:b/>
          <w:color w:val="1F3864"/>
          <w:sz w:val="18"/>
        </w:rPr>
        <w:t xml:space="preserve">[1] </w:t>
      </w:r>
      <w:r>
        <w:rPr>
          <w:rFonts w:ascii="PingFang SC" w:hAnsi="PingFang SC" w:cs="PingFang SC" w:eastAsia="苹方-简"/>
          <w:color w:val="333333"/>
          <w:sz w:val="18"/>
        </w:rPr>
        <w:t xml:space="preserve">《我国经贸类展会数量与面积均创历史新高》，证券时报网（stcn），2026-01-23。  </w:t>
      </w:r>
      <w:r>
        <w:rPr>
          <w:rFonts w:ascii="PingFang SC" w:hAnsi="PingFang SC" w:cs="PingFang SC" w:eastAsia="苹方-简"/>
          <w:color w:val="1F4E9A"/>
          <w:sz w:val="18"/>
        </w:rPr>
        <w:t>https://stcn.com/article/detail/3609200.html</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[2] </w:t>
      </w:r>
      <w:r>
        <w:rPr>
          <w:rFonts w:ascii="PingFang SC" w:hAnsi="PingFang SC" w:cs="PingFang SC" w:eastAsia="苹方-简"/>
          <w:color w:val="333333"/>
          <w:sz w:val="18"/>
        </w:rPr>
        <w:t xml:space="preserve">《去年我国经贸类展会数量和展览总面积创新高——会展业综合带动效应不断放大》，经济日报，2026-02-01。  </w:t>
      </w:r>
      <w:r>
        <w:rPr>
          <w:rFonts w:ascii="PingFang SC" w:hAnsi="PingFang SC" w:cs="PingFang SC" w:eastAsia="苹方-简"/>
          <w:color w:val="1F4E9A"/>
          <w:sz w:val="18"/>
        </w:rPr>
        <w:t>http://www.jingjiribao.cn/static/detail.jsp?id=635350</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[3] </w:t>
      </w:r>
      <w:r>
        <w:rPr>
          <w:rFonts w:ascii="PingFang SC" w:hAnsi="PingFang SC" w:cs="PingFang SC" w:eastAsia="苹方-简"/>
          <w:color w:val="333333"/>
          <w:sz w:val="18"/>
        </w:rPr>
        <w:t xml:space="preserve">《从“展产品”到“链产业” 会展业乘数效应扩大》，新华网，2026-01-26。  </w:t>
      </w:r>
      <w:r>
        <w:rPr>
          <w:rFonts w:ascii="PingFang SC" w:hAnsi="PingFang SC" w:cs="PingFang SC" w:eastAsia="苹方-简"/>
          <w:color w:val="1F4E9A"/>
          <w:sz w:val="18"/>
        </w:rPr>
        <w:t>https://www.news.cn/expo/20260126/3dcc5dbede4445a0a05082f0836a6819/c.html</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[4] </w:t>
      </w:r>
      <w:r>
        <w:rPr>
          <w:rFonts w:ascii="PingFang SC" w:hAnsi="PingFang SC" w:cs="PingFang SC" w:eastAsia="苹方-简"/>
          <w:color w:val="333333"/>
          <w:sz w:val="18"/>
        </w:rPr>
        <w:t xml:space="preserve">《〈中国展览经济发展报告 2025〉发布》，贸企通（中国贸促会），2026。  </w:t>
      </w:r>
      <w:r>
        <w:rPr>
          <w:rFonts w:ascii="PingFang SC" w:hAnsi="PingFang SC" w:cs="PingFang SC" w:eastAsia="苹方-简"/>
          <w:color w:val="1F4E9A"/>
          <w:sz w:val="18"/>
        </w:rPr>
        <w:t>https://www.eccpit.com/news/Y21zcG86MjAzOTM</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[5] </w:t>
      </w:r>
      <w:r>
        <w:rPr>
          <w:rFonts w:ascii="PingFang SC" w:hAnsi="PingFang SC" w:cs="PingFang SC" w:eastAsia="苹方-简"/>
          <w:color w:val="333333"/>
          <w:sz w:val="18"/>
        </w:rPr>
        <w:t xml:space="preserve">《国务院办公厅关于释放体育消费潜力进一步推进体育产业高质量发展的意见》，中国政府网，2025-09。  </w:t>
      </w:r>
      <w:r>
        <w:rPr>
          <w:rFonts w:ascii="PingFang SC" w:hAnsi="PingFang SC" w:cs="PingFang SC" w:eastAsia="苹方-简"/>
          <w:color w:val="1F4E9A"/>
          <w:sz w:val="18"/>
        </w:rPr>
        <w:t>https://www.gov.cn/zhengce/zhengceku/202509/content_7039156.htm</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[6] </w:t>
      </w:r>
      <w:r>
        <w:rPr>
          <w:rFonts w:ascii="PingFang SC" w:hAnsi="PingFang SC" w:cs="PingFang SC" w:eastAsia="苹方-简"/>
          <w:color w:val="333333"/>
          <w:sz w:val="18"/>
        </w:rPr>
        <w:t xml:space="preserve">《2026 年全球及中国体育赛事管理行业头部企业市场占有率及排名调研报告》（摘要页），恒州诚思，2026。  </w:t>
      </w:r>
      <w:r>
        <w:rPr>
          <w:rFonts w:ascii="PingFang SC" w:hAnsi="PingFang SC" w:cs="PingFang SC" w:eastAsia="苹方-简"/>
          <w:color w:val="1F4E9A"/>
          <w:sz w:val="18"/>
        </w:rPr>
        <w:t>https://www.yhresearch.cn/reports/3616127/sports-event-management</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[7] </w:t>
      </w:r>
      <w:r>
        <w:rPr>
          <w:rFonts w:ascii="PingFang SC" w:hAnsi="PingFang SC" w:cs="PingFang SC" w:eastAsia="苹方-简"/>
          <w:color w:val="333333"/>
          <w:sz w:val="18"/>
        </w:rPr>
        <w:t xml:space="preserve">《志愿服务条例》（国务院令第 685 号），中国政府网，2017-09-06。  </w:t>
      </w:r>
      <w:r>
        <w:rPr>
          <w:rFonts w:ascii="PingFang SC" w:hAnsi="PingFang SC" w:cs="PingFang SC" w:eastAsia="苹方-简"/>
          <w:color w:val="1F4E9A"/>
          <w:sz w:val="18"/>
        </w:rPr>
        <w:t>https://www.gov.cn/zhengce/content/2017-09/06/content_5223028.htm</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[8] </w:t>
      </w:r>
      <w:r>
        <w:rPr>
          <w:rFonts w:ascii="PingFang SC" w:hAnsi="PingFang SC" w:cs="PingFang SC" w:eastAsia="苹方-简"/>
          <w:color w:val="333333"/>
          <w:sz w:val="18"/>
        </w:rPr>
        <w:t xml:space="preserve">《以志愿服务汇聚光和热》，人民网，2025-12-15。  </w:t>
      </w:r>
      <w:r>
        <w:rPr>
          <w:rFonts w:ascii="PingFang SC" w:hAnsi="PingFang SC" w:cs="PingFang SC" w:eastAsia="苹方-简"/>
          <w:color w:val="1F4E9A"/>
          <w:sz w:val="18"/>
        </w:rPr>
        <w:t>http://cpc.people.com.cn/BIG5/n1/2025/1215/c64387-40624122.html</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[9] </w:t>
      </w:r>
      <w:r>
        <w:rPr>
          <w:rFonts w:ascii="PingFang SC" w:hAnsi="PingFang SC" w:cs="PingFang SC" w:eastAsia="苹方-简"/>
          <w:color w:val="333333"/>
          <w:sz w:val="18"/>
        </w:rPr>
        <w:t xml:space="preserve">《中华人民共和国数据安全法》，中国长安网，2021-06-11。  </w:t>
      </w:r>
      <w:r>
        <w:rPr>
          <w:rFonts w:ascii="PingFang SC" w:hAnsi="PingFang SC" w:cs="PingFang SC" w:eastAsia="苹方-简"/>
          <w:color w:val="1F4E9A"/>
          <w:sz w:val="18"/>
        </w:rPr>
        <w:t>http://chinapeace.gov.cn/chinapeace/c100007/2021-06/11/content_12497993.shtml</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[10] </w:t>
      </w:r>
      <w:r>
        <w:rPr>
          <w:rFonts w:ascii="PingFang SC" w:hAnsi="PingFang SC" w:cs="PingFang SC" w:eastAsia="苹方-简"/>
          <w:color w:val="333333"/>
          <w:sz w:val="18"/>
        </w:rPr>
        <w:t xml:space="preserve">《中华人民共和国个人信息保护法》，中国人大网，2021-08-20。  </w:t>
      </w:r>
      <w:r>
        <w:rPr>
          <w:rFonts w:ascii="PingFang SC" w:hAnsi="PingFang SC" w:cs="PingFang SC" w:eastAsia="苹方-简"/>
          <w:color w:val="1F4E9A"/>
          <w:sz w:val="18"/>
        </w:rPr>
        <w:t>http://www.npc.gov.cn/npc/c2/c30834/202108/t20210820_313088.html</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[11] </w:t>
      </w:r>
      <w:r>
        <w:rPr>
          <w:rFonts w:ascii="PingFang SC" w:hAnsi="PingFang SC" w:cs="PingFang SC" w:eastAsia="苹方-简"/>
          <w:color w:val="333333"/>
          <w:sz w:val="18"/>
        </w:rPr>
        <w:t xml:space="preserve">《互联网信息服务算法推荐管理规定》，中国政府网，2022-01-04。  </w:t>
      </w:r>
      <w:r>
        <w:rPr>
          <w:rFonts w:ascii="PingFang SC" w:hAnsi="PingFang SC" w:cs="PingFang SC" w:eastAsia="苹方-简"/>
          <w:color w:val="1F4E9A"/>
          <w:sz w:val="18"/>
        </w:rPr>
        <w:t>https://www.gov.cn/zhengce/zhengceku/2022-01/04/content_5666429.htm</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[12] </w:t>
      </w:r>
      <w:r>
        <w:rPr>
          <w:rFonts w:ascii="PingFang SC" w:hAnsi="PingFang SC" w:cs="PingFang SC" w:eastAsia="苹方-简"/>
          <w:color w:val="333333"/>
          <w:sz w:val="18"/>
        </w:rPr>
        <w:t xml:space="preserve">《生成式人工智能服务管理暂行办法》，中国政府网，2023。  </w:t>
      </w:r>
      <w:r>
        <w:rPr>
          <w:rFonts w:ascii="PingFang SC" w:hAnsi="PingFang SC" w:cs="PingFang SC" w:eastAsia="苹方-简"/>
          <w:color w:val="1F4E9A"/>
          <w:sz w:val="18"/>
        </w:rPr>
        <w:t>https://www.gov.cn/zhengce/202311/content_6917778.htm</w:t>
      </w:r>
      <w:r>
        <w:rPr>
          <w:rFonts w:ascii="PingFang SC" w:hAnsi="PingFang SC" w:cs="PingFang SC" w:eastAsia="苹方-简"/>
          <w:color w:val="767676"/>
          <w:sz w:val="18"/>
        </w:rPr>
        <w:t xml:space="preserve">  访问日期：2026-10-23</w:t>
      </w:r>
    </w:p>
    <w:p>
      <w:pPr>
        <w:spacing w:before="0" w:after="60" w:line="300" w:lineRule="auto"/>
        <w:ind w:left="442" w:hanging="442"/>
      </w:pPr>
      <w:r>
        <w:rPr>
          <w:rFonts w:ascii="PingFang SC" w:hAnsi="PingFang SC" w:cs="PingFang SC" w:eastAsia="苹方-简"/>
          <w:b/>
          <w:color w:val="1F3864"/>
          <w:sz w:val="18"/>
        </w:rPr>
        <w:t xml:space="preserve">[13] </w:t>
      </w:r>
      <w:r>
        <w:rPr>
          <w:rFonts w:ascii="PingFang SC" w:hAnsi="PingFang SC" w:cs="PingFang SC" w:eastAsia="苹方-简"/>
          <w:color w:val="333333"/>
          <w:sz w:val="18"/>
        </w:rPr>
        <w:t xml:space="preserve">《人工智能生成合成内容标识办法》，国家互联网信息办公室，2025-03-14。  </w:t>
      </w:r>
      <w:r>
        <w:rPr>
          <w:rFonts w:ascii="PingFang SC" w:hAnsi="PingFang SC" w:cs="PingFang SC" w:eastAsia="苹方-简"/>
          <w:color w:val="1F4E9A"/>
          <w:sz w:val="18"/>
        </w:rPr>
        <w:t>https://www.cac.gov.cn/2025-03/14/c_1743654684782215.htm</w:t>
      </w:r>
      <w:r>
        <w:rPr>
          <w:rFonts w:ascii="PingFang SC" w:hAnsi="PingFang SC" w:cs="PingFang SC" w:eastAsia="苹方-简"/>
          <w:color w:val="767676"/>
          <w:sz w:val="18"/>
        </w:rPr>
        <w:t xml:space="preserve">  访问日期：2026-10-23</w:t>
      </w:r>
    </w:p>
    <w:p>
      <w:pPr>
        <w:spacing w:before="160"/>
      </w:pPr>
      <w:r>
        <w:rPr>
          <w:rFonts w:ascii="PingFang SC" w:hAnsi="PingFang SC" w:cs="PingFang SC" w:eastAsia="苹方-简"/>
          <w:color w:val="767676"/>
          <w:sz w:val="17"/>
        </w:rPr>
        <w:t>注：以上链接为检索结果中给出的地址；本报告撰写环境的网络抓取受策略限制，未能逐页下载正文，因此凡需精确数值之处均标注“待核实”，建议引用前回原文核对。</w:t>
      </w:r>
    </w:p>
    <w:sectPr w:rsidR="00FC693F" w:rsidRPr="0006063C" w:rsidSect="00034616">
      <w:headerReference w:type="default" r:id="rId9"/>
      <w:footerReference w:type="default" r:id="rId10"/>
      <w:pgSz w:w="11906" w:h="16838"/>
      <w:pgMar w:top="1361" w:right="1474" w:bottom="1247" w:left="1474" w:header="737"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cs="PingFang SC" w:eastAsia="苹方-简"/>
        <w:color w:val="595959"/>
        <w:sz w:val="18"/>
      </w:rPr>
      <w:t xml:space="preserve">第 </w:t>
    </w:r>
    <w:r>
      <w:rPr>
        <w:rFonts w:ascii="PingFang SC" w:hAnsi="PingFang SC" w:cs="PingFang SC" w:eastAsia="苹方-简"/>
        <w:color w:val="595959"/>
        <w:sz w:val="18"/>
      </w:rPr>
      <w:fldChar w:fldCharType="begin"/>
      <w:instrText xml:space="preserve"> PAGE </w:instrText>
      <w:fldChar w:fldCharType="separate"/>
      <w:t>1</w:t>
      <w:fldChar w:fldCharType="end"/>
    </w:r>
    <w:r>
      <w:rPr>
        <w:rFonts w:ascii="PingFang SC" w:hAnsi="PingFang SC" w:cs="PingFang SC" w:eastAsia="苹方-简"/>
        <w:color w:val="595959"/>
        <w:sz w:val="18"/>
      </w:rPr>
      <w:t xml:space="preserve"> 页 · 共 </w:t>
    </w:r>
    <w:r>
      <w:rPr>
        <w:rFonts w:ascii="PingFang SC" w:hAnsi="PingFang SC" w:cs="PingFang SC" w:eastAsia="苹方-简"/>
        <w:color w:val="595959"/>
        <w:sz w:val="18"/>
      </w:rPr>
      <w:fldChar w:fldCharType="begin"/>
      <w:instrText xml:space="preserve"> NUMPAGES </w:instrText>
      <w:fldChar w:fldCharType="separate"/>
      <w:t>1</w:t>
      <w:fldChar w:fldCharType="end"/>
    </w:r>
    <w:r>
      <w:rPr>
        <w:rFonts w:ascii="PingFang SC" w:hAnsi="PingFang SC" w:cs="PingFang SC" w:eastAsia="苹方-简"/>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D0D7E2"/>
      </w:pBdr>
      <w:jc w:val="right"/>
    </w:pPr>
    <w:r>
      <w:rPr>
        <w:rFonts w:ascii="PingFang SC" w:hAnsi="PingFang SC" w:cs="PingFang SC" w:eastAsia="苹方-简"/>
        <w:color w:val="767676"/>
        <w:sz w:val="16"/>
      </w:rPr>
      <w:t>赛事运营数字化 · 行业分析（2026）｜志愿者排班与交接场景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before="0" w:after="80"/>
    </w:pPr>
    <w:rPr>
      <w:rFonts w:ascii="PingFang SC" w:hAnsi="PingFang SC" w:cs="PingFang SC" w:eastAsia="苹方-简"/>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PingFang SC" w:hAnsi="PingFang SC" w:cs="PingFang SC" w:eastAsia="苹方-简"/>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PingFang SC" w:hAnsi="PingFang SC" w:cs="PingFang SC" w:eastAsia="苹方-简"/>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赛事运营数字化 · 行业分析（2026）——志愿者排班与交接场景</dc:title>
  <dc:subject>赛事运营 / 志愿者排班与交接 / 只读核对</dc:subject>
  <dc:creator>volunteer-handover 项目组</dc:creator>
  <cp:keywords>会展,体育赛事,志愿者,排班,交接,只读核对,审计,行业分析</cp:keywords>
  <dc:description>公开信息整理与场景分析；统计数据未取得可核验来源处标注待核实。</dc:description>
  <cp:lastModifiedBy/>
  <cp:revision>1</cp:revision>
  <dcterms:created xsi:type="dcterms:W3CDTF">2013-12-23T23:15:00Z</dcterms:created>
  <dcterms:modified xsi:type="dcterms:W3CDTF">2013-12-23T23:15:00Z</dcterms:modified>
  <cp:category/>
</cp:coreProperties>
</file>