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95"/>
        <w:gridCol w:w="2250"/>
        <w:gridCol w:w="3885"/>
        <w:gridCol w:w="1890"/>
        <w:gridCol w:w="2429"/>
        <w:gridCol w:w="2429"/>
        <w:tblGridChange w:id="0">
          <w:tblGrid>
            <w:gridCol w:w="1695"/>
            <w:gridCol w:w="2250"/>
            <w:gridCol w:w="3885"/>
            <w:gridCol w:w="1890"/>
            <w:gridCol w:w="2429"/>
            <w:gridCol w:w="24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de Windows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lanzamiento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Diferentes ediciones (en caso de que haya)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y mejoras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mínimos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Diferencias entre las ediciones y destinos de uso de cada una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febrero 2000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Professional</w:t>
            </w:r>
            <w:r w:rsidDel="00000000" w:rsidR="00000000" w:rsidRPr="00000000">
              <w:rPr>
                <w:rtl w:val="0"/>
              </w:rPr>
              <w:t xml:space="preserve">: Destinado a ser un cliente de red seguro y usarlo para trabajo cooperativo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  <w:t xml:space="preserve">: Destinado a ser un servidor de archivos, impresión, web y FTP de una pequeña o mediana empresa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Advanced Server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Datacenter Server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Advanced Server Limited Edition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 abril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 febrero 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 septiembre 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 septiembre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 octubre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