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MEASURE ENERGY CONSUMPTION USING PYTHON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</w:t>
      </w:r>
      <w:r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  <w:t xml:space="preserve">TEAM MEMBER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  <w:t xml:space="preserve">              731721106011 : M.MUNEESWARI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         Phase 2 Submission Document  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  Project: Measure Energy Consumption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@Yu Gothic UI Semibold" w:hAnsi="@Yu Gothic UI Semibold" w:cs="@Yu Gothic UI Semibold" w:eastAsia="@Yu Gothic UI Semibold"/>
          <w:color w:val="auto"/>
          <w:spacing w:val="0"/>
          <w:position w:val="0"/>
          <w:sz w:val="20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* Provide an overview of the project, highlighting the significance of energy conservation in residential and commercial buildings.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Explain the challenges faced in accurately measuring and analyzing energy consumption.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Introduce the AI-based solution as a means to tackle these challenges effectively</w:t>
      </w:r>
    </w:p>
    <w:p>
      <w:pPr>
        <w:tabs>
          <w:tab w:val="left" w:pos="570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Steps: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Collection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Gather comprehensive data on energy consumption, including electricity, gas, and water usage, from various sensors and meters installed in buildings.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Data Preprocessing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Clean and preprocess the collected data, handling missing values, outliers, and ensuring data consistency.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Feature Engineering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Create meaningful features from the raw data, such as daily, weekly, and monthly energy usage patterns, weather conditions, and occupancy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 Model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Develop a predictive model using machine learning techniques to estimate energy consumption. The model should consider factors like historical usage, external factors (e.g., temperature, humidity), and occupancy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Real-time Monitoring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Implement a real-time monitoring system that continuously collects data and updates predictions, providing insights into current and future energy consumption trends.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Anomaly Detection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Incorporate anomaly detection algorithms to identify unusual spikes or drops in energy consumption, which may indicate faults or inefficiencies in the building's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Create a user-friendly interface or dashboard that allows users to visualize and interact with energy consumption data, view predictions, and set energy-saving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Provide energy-saving recommendations based on the analysis, such as optimizing heating and cooling systems, lighting schedules, and appliance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Scalability: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Ensure that the system can scale to accommodate data from multiple buildings and adapt to different types of sensors and 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Energy Efficiency Reporting: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Generate reports summarizing energy consumption trends, cost savings, and environmental impact for building owners and occupants.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source: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8294" w:dyaOrig="3283">
          <v:rect xmlns:o="urn:schemas-microsoft-com:office:office" xmlns:v="urn:schemas-microsoft-com:vml" id="rectole0000000000" style="width:414.700000pt;height:16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Wave form: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608" w:dyaOrig="4608">
          <v:rect xmlns:o="urn:schemas-microsoft-com:office:office" xmlns:v="urn:schemas-microsoft-com:vml" id="rectole0000000001" style="width:230.4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random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Simulate sensor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read_sensor_data():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"temperature": random.uniform(10, 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"pH": random.uniform(6, 8),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"dissolved_oxygen": random.uniform(5, 10),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Simulate energy consumption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measure_energy_consumption():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random.uniform(1, 5)  # In watts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Main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sensor_data = read_sensor_data()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energy_consumption = measure_energy_consumption()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# Process and log sensor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# You can also calculate total energy consumption over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print(f"Sensor Data: {sensor_data}")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print(f"Energy Consumption: {energy_consumption} Watts")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time.sleep(60)  # Log data every minute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26" w:dyaOrig="6155">
          <v:rect xmlns:o="urn:schemas-microsoft-com:office:office" xmlns:v="urn:schemas-microsoft-com:vml" id="rectole0000000002" style="width:436.300000pt;height:3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WordPad.Document.1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