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0623" w:rsidRDefault="00740A42" w:rsidP="00740A42">
      <w:pPr>
        <w:jc w:val="center"/>
        <w:rPr>
          <w:rFonts w:ascii="Times New Roman" w:hAnsi="Times New Roman" w:cs="Times New Roman"/>
          <w:sz w:val="28"/>
          <w:szCs w:val="28"/>
        </w:rPr>
      </w:pPr>
      <w:r w:rsidRPr="00740A42">
        <w:rPr>
          <w:rFonts w:ascii="Times New Roman" w:hAnsi="Times New Roman" w:cs="Times New Roman"/>
          <w:sz w:val="28"/>
          <w:szCs w:val="28"/>
        </w:rPr>
        <w:t>Архитек</w:t>
      </w:r>
      <w:r w:rsidR="00C64EA6" w:rsidRPr="00740A42">
        <w:rPr>
          <w:rFonts w:ascii="Times New Roman" w:hAnsi="Times New Roman" w:cs="Times New Roman"/>
          <w:sz w:val="28"/>
          <w:szCs w:val="28"/>
        </w:rPr>
        <w:t>т</w:t>
      </w:r>
      <w:r w:rsidRPr="00740A42">
        <w:rPr>
          <w:rFonts w:ascii="Times New Roman" w:hAnsi="Times New Roman" w:cs="Times New Roman"/>
          <w:sz w:val="28"/>
          <w:szCs w:val="28"/>
        </w:rPr>
        <w:t>у</w:t>
      </w:r>
      <w:r w:rsidR="00C64EA6" w:rsidRPr="00740A42">
        <w:rPr>
          <w:rFonts w:ascii="Times New Roman" w:hAnsi="Times New Roman" w:cs="Times New Roman"/>
          <w:sz w:val="28"/>
          <w:szCs w:val="28"/>
        </w:rPr>
        <w:t xml:space="preserve">рные и </w:t>
      </w:r>
      <w:r w:rsidRPr="00740A42">
        <w:rPr>
          <w:rFonts w:ascii="Times New Roman" w:hAnsi="Times New Roman" w:cs="Times New Roman"/>
          <w:sz w:val="28"/>
          <w:szCs w:val="28"/>
        </w:rPr>
        <w:t>инфраструктурные решения для повышения качества ПО</w:t>
      </w:r>
    </w:p>
    <w:p w:rsidR="00740A42" w:rsidRDefault="00740A42" w:rsidP="00740A42">
      <w:pPr>
        <w:rPr>
          <w:rFonts w:ascii="Times New Roman" w:hAnsi="Times New Roman" w:cs="Times New Roman"/>
          <w:sz w:val="24"/>
          <w:szCs w:val="24"/>
        </w:rPr>
      </w:pPr>
    </w:p>
    <w:p w:rsidR="00740A42" w:rsidRDefault="00A7411A" w:rsidP="00740A4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Архитектура – это набор обоснованных компромиссов под конкретные требования и ограничения.</w:t>
      </w:r>
    </w:p>
    <w:p w:rsidR="00A7411A" w:rsidRDefault="00A7411A" w:rsidP="00740A4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Средства повышения качества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7411A" w:rsidRDefault="00A7411A" w:rsidP="00A7411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7411A">
        <w:rPr>
          <w:rFonts w:ascii="Times New Roman" w:hAnsi="Times New Roman" w:cs="Times New Roman"/>
          <w:sz w:val="24"/>
          <w:szCs w:val="24"/>
        </w:rPr>
        <w:t>Модульность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7411A" w:rsidRDefault="00A7411A" w:rsidP="00A7411A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Высокая связность внутри модуля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A7411A" w:rsidRDefault="00A7411A" w:rsidP="00A7411A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Слабая связность между модулями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A7411A" w:rsidRDefault="00A7411A" w:rsidP="00A7411A">
      <w:pPr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Плюсы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7411A" w:rsidRDefault="00A7411A" w:rsidP="00A7411A">
      <w:pPr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</w:rPr>
        <w:t>Проще анализировать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A7411A" w:rsidRDefault="00A7411A" w:rsidP="00A7411A">
      <w:pPr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</w:rPr>
        <w:t>Меньше непреднамеренных последствий изменений</w:t>
      </w:r>
    </w:p>
    <w:p w:rsidR="00A7411A" w:rsidRDefault="00A7411A" w:rsidP="00A7411A">
      <w:pPr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Проще тестирование</w:t>
      </w:r>
    </w:p>
    <w:p w:rsidR="00A7411A" w:rsidRDefault="00A7411A" w:rsidP="00A7411A">
      <w:pPr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Легче масштабировать</w:t>
      </w:r>
    </w:p>
    <w:p w:rsidR="00A8085E" w:rsidRPr="00A8085E" w:rsidRDefault="00A8085E" w:rsidP="00A8085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Архитектурные решения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6F5464" w:rsidRPr="006F5464" w:rsidRDefault="006F5464" w:rsidP="006F546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Слоистая архитектура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6F5464" w:rsidRDefault="006F5464" w:rsidP="006F5464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Представление</w:t>
      </w:r>
    </w:p>
    <w:p w:rsidR="006F5464" w:rsidRDefault="006F5464" w:rsidP="006F5464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Бизнес-логика</w:t>
      </w:r>
    </w:p>
    <w:p w:rsidR="006F5464" w:rsidRDefault="006F5464" w:rsidP="006F5464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Данные</w:t>
      </w:r>
    </w:p>
    <w:p w:rsidR="006F5464" w:rsidRDefault="006F5464" w:rsidP="0029309B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Гексагональная архитектура</w:t>
      </w:r>
      <w:r w:rsidRPr="006F5464">
        <w:rPr>
          <w:rFonts w:ascii="Times New Roman" w:hAnsi="Times New Roman" w:cs="Times New Roman"/>
          <w:sz w:val="24"/>
          <w:szCs w:val="24"/>
        </w:rPr>
        <w:t>:</w:t>
      </w:r>
    </w:p>
    <w:p w:rsidR="0029309B" w:rsidRDefault="0029309B" w:rsidP="0029309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Тестируемость</w:t>
      </w:r>
    </w:p>
    <w:p w:rsidR="0029309B" w:rsidRDefault="0029309B" w:rsidP="0029309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Лёгкая замена внешних зависимостей</w:t>
      </w:r>
    </w:p>
    <w:p w:rsidR="0029309B" w:rsidRDefault="0029309B" w:rsidP="0029309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Высокая гибкость</w:t>
      </w:r>
    </w:p>
    <w:p w:rsidR="0029309B" w:rsidRDefault="0029309B" w:rsidP="0029309B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Модульный монолит и </w:t>
      </w:r>
      <w:proofErr w:type="spellStart"/>
      <w:r>
        <w:rPr>
          <w:rFonts w:ascii="Times New Roman" w:hAnsi="Times New Roman" w:cs="Times New Roman"/>
          <w:sz w:val="24"/>
          <w:szCs w:val="24"/>
        </w:rPr>
        <w:t>микросервисы</w:t>
      </w:r>
      <w:proofErr w:type="spellEnd"/>
    </w:p>
    <w:p w:rsidR="0029309B" w:rsidRDefault="0029309B" w:rsidP="0029309B">
      <w:pPr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Модульный монолит развёртывается как единое приложение, </w:t>
      </w:r>
      <w:proofErr w:type="gramStart"/>
      <w:r>
        <w:rPr>
          <w:rFonts w:ascii="Times New Roman" w:hAnsi="Times New Roman" w:cs="Times New Roman"/>
          <w:sz w:val="24"/>
          <w:szCs w:val="24"/>
        </w:rPr>
        <w:t>но  имеет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внутренние границы между функциональными модулями.</w:t>
      </w:r>
    </w:p>
    <w:p w:rsidR="0029309B" w:rsidRDefault="0029309B" w:rsidP="0029309B">
      <w:pPr>
        <w:ind w:left="70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Микросервисная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архитектура разделяет систему на независимо развёртываемые сервисы.</w:t>
      </w:r>
    </w:p>
    <w:tbl>
      <w:tblPr>
        <w:tblStyle w:val="a4"/>
        <w:tblW w:w="0" w:type="auto"/>
        <w:tblInd w:w="708" w:type="dxa"/>
        <w:tblLook w:val="04A0" w:firstRow="1" w:lastRow="0" w:firstColumn="1" w:lastColumn="0" w:noHBand="0" w:noVBand="1"/>
      </w:tblPr>
      <w:tblGrid>
        <w:gridCol w:w="2885"/>
        <w:gridCol w:w="2881"/>
        <w:gridCol w:w="2871"/>
      </w:tblGrid>
      <w:tr w:rsidR="0029309B" w:rsidTr="0029309B">
        <w:tc>
          <w:tcPr>
            <w:tcW w:w="3115" w:type="dxa"/>
          </w:tcPr>
          <w:p w:rsidR="0029309B" w:rsidRDefault="0029309B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:rsidR="0029309B" w:rsidRDefault="0029309B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Монолит</w:t>
            </w:r>
          </w:p>
        </w:tc>
        <w:tc>
          <w:tcPr>
            <w:tcW w:w="3115" w:type="dxa"/>
          </w:tcPr>
          <w:p w:rsidR="0029309B" w:rsidRDefault="0029309B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Микросервисы</w:t>
            </w:r>
            <w:proofErr w:type="spellEnd"/>
          </w:p>
        </w:tc>
      </w:tr>
      <w:tr w:rsidR="0029309B" w:rsidTr="0029309B">
        <w:tc>
          <w:tcPr>
            <w:tcW w:w="3115" w:type="dxa"/>
          </w:tcPr>
          <w:p w:rsidR="0029309B" w:rsidRDefault="0029309B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Развёртывание</w:t>
            </w:r>
          </w:p>
        </w:tc>
        <w:tc>
          <w:tcPr>
            <w:tcW w:w="3115" w:type="dxa"/>
          </w:tcPr>
          <w:p w:rsidR="0029309B" w:rsidRDefault="00646ED7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Единый выпуск</w:t>
            </w:r>
          </w:p>
        </w:tc>
        <w:tc>
          <w:tcPr>
            <w:tcW w:w="3115" w:type="dxa"/>
          </w:tcPr>
          <w:p w:rsidR="0029309B" w:rsidRDefault="00646ED7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Независимые выпуски</w:t>
            </w:r>
          </w:p>
        </w:tc>
      </w:tr>
      <w:tr w:rsidR="0029309B" w:rsidTr="0029309B">
        <w:tc>
          <w:tcPr>
            <w:tcW w:w="3115" w:type="dxa"/>
          </w:tcPr>
          <w:p w:rsidR="00646ED7" w:rsidRDefault="00646ED7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Взаимодействие</w:t>
            </w:r>
          </w:p>
        </w:tc>
        <w:tc>
          <w:tcPr>
            <w:tcW w:w="3115" w:type="dxa"/>
          </w:tcPr>
          <w:p w:rsidR="0029309B" w:rsidRDefault="00646ED7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Вызовы внутри процессора</w:t>
            </w:r>
          </w:p>
        </w:tc>
        <w:tc>
          <w:tcPr>
            <w:tcW w:w="3115" w:type="dxa"/>
          </w:tcPr>
          <w:p w:rsidR="0029309B" w:rsidRDefault="00646ED7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Сетевые вызовы и шины сообщения</w:t>
            </w:r>
          </w:p>
        </w:tc>
      </w:tr>
      <w:tr w:rsidR="0029309B" w:rsidTr="0029309B">
        <w:tc>
          <w:tcPr>
            <w:tcW w:w="3115" w:type="dxa"/>
          </w:tcPr>
          <w:p w:rsidR="0029309B" w:rsidRDefault="00B10C19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Транзакции</w:t>
            </w:r>
          </w:p>
        </w:tc>
        <w:tc>
          <w:tcPr>
            <w:tcW w:w="3115" w:type="dxa"/>
          </w:tcPr>
          <w:p w:rsidR="0029309B" w:rsidRDefault="00B10C19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Проще, при использовании одной БД</w:t>
            </w:r>
          </w:p>
        </w:tc>
        <w:tc>
          <w:tcPr>
            <w:tcW w:w="3115" w:type="dxa"/>
          </w:tcPr>
          <w:p w:rsidR="0029309B" w:rsidRDefault="00B10C19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 1 сервис 1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обычно. Сложнее при распределении данных</w:t>
            </w:r>
          </w:p>
        </w:tc>
      </w:tr>
      <w:tr w:rsidR="0029309B" w:rsidTr="0029309B">
        <w:tc>
          <w:tcPr>
            <w:tcW w:w="3115" w:type="dxa"/>
          </w:tcPr>
          <w:p w:rsidR="0029309B" w:rsidRDefault="00B10C19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Эксплуатация</w:t>
            </w:r>
          </w:p>
        </w:tc>
        <w:tc>
          <w:tcPr>
            <w:tcW w:w="3115" w:type="dxa"/>
          </w:tcPr>
          <w:p w:rsidR="0029309B" w:rsidRDefault="00B10C19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требователен к инфраструктуре</w:t>
            </w:r>
          </w:p>
        </w:tc>
        <w:tc>
          <w:tcPr>
            <w:tcW w:w="3115" w:type="dxa"/>
          </w:tcPr>
          <w:p w:rsidR="00B10C19" w:rsidRDefault="00B10C19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автоматизации, наблюдаемости</w:t>
            </w:r>
          </w:p>
        </w:tc>
      </w:tr>
      <w:tr w:rsidR="00B10C19" w:rsidTr="0029309B">
        <w:tc>
          <w:tcPr>
            <w:tcW w:w="3115" w:type="dxa"/>
          </w:tcPr>
          <w:p w:rsidR="00B10C19" w:rsidRDefault="00B10C19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Отказы</w:t>
            </w:r>
          </w:p>
        </w:tc>
        <w:tc>
          <w:tcPr>
            <w:tcW w:w="3115" w:type="dxa"/>
          </w:tcPr>
          <w:p w:rsidR="00B10C19" w:rsidRDefault="00B10C19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Падает целиком</w:t>
            </w:r>
          </w:p>
        </w:tc>
        <w:tc>
          <w:tcPr>
            <w:tcW w:w="3115" w:type="dxa"/>
          </w:tcPr>
          <w:p w:rsidR="00B10C19" w:rsidRDefault="00B10C19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 правильной организации падение может ограничиться одним сервисом</w:t>
            </w:r>
          </w:p>
        </w:tc>
      </w:tr>
      <w:tr w:rsidR="00B10C19" w:rsidTr="0029309B">
        <w:tc>
          <w:tcPr>
            <w:tcW w:w="3115" w:type="dxa"/>
          </w:tcPr>
          <w:p w:rsidR="00B10C19" w:rsidRDefault="00B10C19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:rsidR="00B10C19" w:rsidRDefault="00B10C19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:rsidR="00B10C19" w:rsidRDefault="00B10C19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10C19" w:rsidTr="0029309B">
        <w:tc>
          <w:tcPr>
            <w:tcW w:w="3115" w:type="dxa"/>
          </w:tcPr>
          <w:p w:rsidR="00B10C19" w:rsidRDefault="00B10C19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:rsidR="00B10C19" w:rsidRDefault="00B10C19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:rsidR="00B10C19" w:rsidRDefault="00B10C19" w:rsidP="0029309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9309B" w:rsidRDefault="0029309B" w:rsidP="0029309B">
      <w:pPr>
        <w:ind w:left="708"/>
        <w:rPr>
          <w:rFonts w:ascii="Times New Roman" w:hAnsi="Times New Roman" w:cs="Times New Roman"/>
          <w:sz w:val="24"/>
          <w:szCs w:val="24"/>
        </w:rPr>
      </w:pPr>
    </w:p>
    <w:p w:rsidR="00A8085E" w:rsidRDefault="00B10C19" w:rsidP="00A8085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Чистая архитектура</w:t>
      </w:r>
    </w:p>
    <w:p w:rsidR="00A8085E" w:rsidRDefault="00A8085E" w:rsidP="00A8085E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8085E" w:rsidRDefault="00A8085E" w:rsidP="00A8085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Инфраструктурные решения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8085E" w:rsidRPr="00A8085E" w:rsidRDefault="00A8085E" w:rsidP="00A8085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Контроль версий </w:t>
      </w:r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A8085E" w:rsidRDefault="00A8085E" w:rsidP="00A8085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Непрерывная интеграция (</w:t>
      </w:r>
      <w:r>
        <w:rPr>
          <w:rFonts w:ascii="Times New Roman" w:hAnsi="Times New Roman" w:cs="Times New Roman"/>
          <w:sz w:val="24"/>
          <w:szCs w:val="24"/>
          <w:lang w:val="en-US"/>
        </w:rPr>
        <w:t>CI</w:t>
      </w:r>
      <w:r w:rsidRPr="00A8085E">
        <w:rPr>
          <w:rFonts w:ascii="Times New Roman" w:hAnsi="Times New Roman" w:cs="Times New Roman"/>
          <w:sz w:val="24"/>
          <w:szCs w:val="24"/>
        </w:rPr>
        <w:t xml:space="preserve">) – практика </w:t>
      </w:r>
      <w:r>
        <w:rPr>
          <w:rFonts w:ascii="Times New Roman" w:hAnsi="Times New Roman" w:cs="Times New Roman"/>
          <w:sz w:val="24"/>
          <w:szCs w:val="24"/>
        </w:rPr>
        <w:t>частого объединения изменений с автоматической проверкой результата</w:t>
      </w:r>
    </w:p>
    <w:p w:rsidR="00A8085E" w:rsidRDefault="00A8085E" w:rsidP="00A8085E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Процесс непрерывной интеграции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8085E" w:rsidRPr="00A8085E" w:rsidRDefault="00A8085E" w:rsidP="00A8085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8085E">
        <w:rPr>
          <w:rFonts w:ascii="Times New Roman" w:hAnsi="Times New Roman" w:cs="Times New Roman"/>
          <w:sz w:val="24"/>
          <w:szCs w:val="24"/>
        </w:rPr>
        <w:t>Коммит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A8085E" w:rsidRPr="00A8085E" w:rsidRDefault="00A8085E" w:rsidP="00A8085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Сборка приложени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A8085E" w:rsidRPr="000C5CC8" w:rsidRDefault="00A8085E" w:rsidP="00A8085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Статический анализ</w:t>
      </w:r>
      <w:r w:rsidR="000C5CC8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0C5CC8" w:rsidRDefault="000C5CC8" w:rsidP="00A8085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Статический анализ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0C5CC8" w:rsidRPr="000C5CC8" w:rsidRDefault="000C5CC8" w:rsidP="00A8085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Автотесты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0C5CC8" w:rsidRDefault="000C5CC8" w:rsidP="000C5CC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Формирование артефакта</w:t>
      </w:r>
    </w:p>
    <w:p w:rsidR="000C5CC8" w:rsidRDefault="000C5CC8" w:rsidP="000C5CC8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CD – </w:t>
      </w:r>
      <w:r>
        <w:rPr>
          <w:rFonts w:ascii="Times New Roman" w:hAnsi="Times New Roman" w:cs="Times New Roman"/>
          <w:sz w:val="24"/>
          <w:szCs w:val="24"/>
        </w:rPr>
        <w:t xml:space="preserve">непрерывная доставка </w:t>
      </w:r>
      <w:r>
        <w:rPr>
          <w:rFonts w:ascii="Times New Roman" w:hAnsi="Times New Roman" w:cs="Times New Roman"/>
          <w:sz w:val="24"/>
          <w:szCs w:val="24"/>
          <w:lang w:val="en-US"/>
        </w:rPr>
        <w:t>/</w:t>
      </w:r>
      <w:r>
        <w:rPr>
          <w:rFonts w:ascii="Times New Roman" w:hAnsi="Times New Roman" w:cs="Times New Roman"/>
          <w:sz w:val="24"/>
          <w:szCs w:val="24"/>
        </w:rPr>
        <w:t xml:space="preserve"> развёртывание</w:t>
      </w:r>
    </w:p>
    <w:p w:rsidR="00D46650" w:rsidRDefault="00D46650" w:rsidP="00D4665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Инфраструктура как код</w:t>
      </w:r>
    </w:p>
    <w:p w:rsidR="00D46650" w:rsidRPr="00D46650" w:rsidRDefault="00D46650" w:rsidP="00D46650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Идея, которая позволяет описывать вычислительные ресурсы, сети и настройки в </w:t>
      </w:r>
      <w:proofErr w:type="spellStart"/>
      <w:r>
        <w:rPr>
          <w:rFonts w:ascii="Times New Roman" w:hAnsi="Times New Roman" w:cs="Times New Roman"/>
          <w:sz w:val="24"/>
          <w:szCs w:val="24"/>
        </w:rPr>
        <w:t>версионируемых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файлах</w:t>
      </w:r>
    </w:p>
    <w:sectPr w:rsidR="00D46650" w:rsidRPr="00D466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C2715D"/>
    <w:multiLevelType w:val="hybridMultilevel"/>
    <w:tmpl w:val="92B4716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0FD3040"/>
    <w:multiLevelType w:val="hybridMultilevel"/>
    <w:tmpl w:val="9B1C1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4EA6"/>
    <w:rsid w:val="000C5CC8"/>
    <w:rsid w:val="00120623"/>
    <w:rsid w:val="0029309B"/>
    <w:rsid w:val="00646ED7"/>
    <w:rsid w:val="006F5464"/>
    <w:rsid w:val="00740A42"/>
    <w:rsid w:val="00A568C9"/>
    <w:rsid w:val="00A7411A"/>
    <w:rsid w:val="00A8085E"/>
    <w:rsid w:val="00B10C19"/>
    <w:rsid w:val="00C64EA6"/>
    <w:rsid w:val="00D4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CE5B3"/>
  <w15:chartTrackingRefBased/>
  <w15:docId w15:val="{35B6444E-1EF0-41EA-8D0E-1A55B7952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7411A"/>
    <w:pPr>
      <w:ind w:left="720"/>
      <w:contextualSpacing/>
    </w:pPr>
  </w:style>
  <w:style w:type="table" w:styleId="a4">
    <w:name w:val="Table Grid"/>
    <w:basedOn w:val="a1"/>
    <w:uiPriority w:val="39"/>
    <w:rsid w:val="002930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253</Words>
  <Characters>1445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8</cp:revision>
  <dcterms:created xsi:type="dcterms:W3CDTF">2026-09-29T05:39:00Z</dcterms:created>
  <dcterms:modified xsi:type="dcterms:W3CDTF">2026-09-29T07:04:00Z</dcterms:modified>
</cp:coreProperties>
</file>