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прямых продаж: Глубокий анализ структуры продающих лендингов Яна Воскресенского</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Введение: Эволюция цифрового маркетинга и парадигма прямых продаж</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Эволюция цифрового маркетинга в сегменте образовательных продуктов, консалтинга и инфобизнеса характеризуется непрерывной трансформацией подходов к конверсии трафика. На протяжении многих лет индустрия опиралась на сложные, многоступенчатые воронки продаж, включающие в себя длительные бесплатные марафоны, многочасовые вебинары и разветвленные цепочки электронных писем. Однако изменения в потребительском поведении, обусловленные информационной перегрузкой и развитием форматов короткого видеоконтента (Shorts, Reels, TikTok), привели к значительному снижению эффективности традиционных методов. В ответ на эти вызовы на русскоязычном рынке сформировалась и закрепилась стратегия немедленной монетизации трафика, получившая название «продажи в лоб». Данная методология, ярким апологетом и популяризатором которой является Ян Воскресенский, базируется на создании высококонверсионных посадочных страниц, способных трансформировать абсолютно холодный трафик в покупателей в рамках одной пользовательской сессии [V_Methodology_1].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Стратегия прямых продаж фундаментально переопределяет роль посадочной страницы. В классическом маркетинге лендинг часто выполняет функцию информационной витрины или инструмента лидогенерации (сбора контактов для последующего «прогрева»). В архитектуре Воскресенского лендинг становится автономным, бескомпромиссным цифровым продавцом. Его структура — это не просто набор эстетически привлекательных блоков, а жестко запрограммированный психологический алгоритм, который проводит пользователя по всем ступеням лестницы узнавания Бена Ханта за считанные минуты. Этот алгоритм должен захватить внимание, актуализировать боль, предложить уникальное решение, разрушить возражения и обосновать нелогичность отказа от сделки до того, как пользователь закроет вкладку браузера. Подобная плотность смыслов требует высочайшего уровня мастерства в копирайтинге, поведенческой экономике и конверсионном дизайне.</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Настоящее исследование представляет собой исчерпывающий анализ макро- и микроструктуры продающих лендингов, создаваемых в рамках методологии прямых продаж. Анализ деконструирует каждый элемент страницы, выявляя скрытые психологические триггеры, экономические обоснования и причинно-следственные связи, которые делают эту архитектуру одной из самых эффективных моделей монетизации экспертизы на современном рынке.</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Когнитивная психология холодных продаж: Преодоление барьера недоверия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Фундаментальная проблема продаж холодному трафику заключается в максимальном уровне скептицизма аудитории. Пользователь, перешедший на сайт из рекламного ролика или органического короткого видео, не имеет сформированной парасоциальной связи с автором продукта. У него нет кредита доверия. В связи с этим структура лендинга конструируется с учетом необходимости мгновенного преодоления когнитивного трения.</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Исследования в области поведенческой экономики показывают, что человеческий мозг стремится минимизировать энергетические затраты на принятие решений. Традиционные воронки пытаются обойти это сопротивление путем постепенного вовлечения. Метод Воскресенского идет иным путем: он использует шоковое воздействие предельной релевантности [V_Methodology_4]. Лендинг с первых секунд транслирует пользователю глубокое понимание его текущего состояния и предлагает кратчайший путь к желаемому результату. Эффективность этого подхода объясняется активацией дофаминовой системы: обещание быстрого, понятного и доступного решения стимулирует центр вознаграждения в мозге сильнее, чем перспектива длительного, пусть и бесплатного, обучения на вебинаре.</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Более того, структура этих посадочных страниц капитализирует дефицит времени современного потребителя. Длинные прогревы теряют свою эффективность из-за снижения доходимости (retention rate) на каждом этапе воронки. Продажи в лоб предлагают сделку здесь и сейчас, эксплуатируя желание пользователя немедленно закрыть гештальт (снять проблему), инвестировав небольшую сумму денег вместо инвестирования десятков часов своего времени.</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Макроструктура первого экрана: Захват когнитивного внимания и квалификация</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Первый экран (Above the Fold) является критической точкой отказа любой посадочной страницы. В парадигме прямых продаж на него ложится беспрецедентная нагрузка. Если в классическом лидогенерирующем лендинге потеря конверсии на первом экране может быть компенсирована ретаргетингом, то в агрессивной модели прямых продаж уход пользователя означает чистый убыток в юнит-экономике. Анализ лендингов Воскресенского выявляет строгую формульность конструирования первого экрана, основанную на ультимативном ценностном предложении (UVP).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первого экрана состоит из надзаголовка, основного заголовка, дескриптора (подзаголовка), визуального элемента и первичного призыва к действию. Надзаголовок (Pre-headline) выполняет функцию жесткой сегментации. Его цель — немедленно отсечь нецелевую аудиторию и сфокусировать внимание целевой. Например, формулировки вроде «Для экспертов, которые устали снимать рилс без выхлопа» работают как фильтр, повышающий релевантность последующего сообщения.</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Основной заголовок всегда конструируется через конечный, измеримый результат, а не через процесс. Наиболее часто применяемая лингвистическая формула объединяет три компонента: желаемый результат, конкретный временной фрейм и устранение главного страха или возражения. Формула выглядит так: «Как получить [Супер-Результат] за [Короткий Срок], даже если [Главное Ограничение/Боль]». Подобная конструкция активирует интерес за счет контраста между высокой ценностью и отсутствием привычных барьеров для ее достижения.</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Подзаголовок служит логическим мостом, который снижает градус рекламности (hype) заголовка. Он рационализирует обещание, объясняя, за счет какого конкретно механизма (системы, шаблона, связки) будет достигнут заявленный результат. Визуально первый экран избавлен от любых отвлекающих элементов, включая классическое навигационное меню сайта (хедер с ссылками «О нас», «Контакты» и т.д.). Создается эффект «закрытой комнаты» (Tunnel Vision) — интерфейс предоставляет пользователю только два пути: изучать предложение дальше, скролля вниз, или покинуть страницу.</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Блок эскалации проблематики: Синхронизация и нарративное отражение</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Сразу после захвата внимания на первом экране структура лендинга не переходит к презентации продукта. Это частая ошибка новичков, которую методология Воскресенского строго избегает. Прежде чем предложить решение, необходимо убедиться, что пользователь остро осознает свою проблему. Этот блок опирается на классическую копирайтерскую модель PAS (Problem - Agitation - Solution), однако стадия проблематизации (Agitation) доводится до максимальной эмоциональной интенсивности [V_Methodology_7].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Текст конструируется с использованием техники нарративного отражения. Вместо прямых, обвинительных утверждений («У вас нет продаж, потому что вы делаете плохой контент»), лендинг описывает микро-сценарии, вызывающие внутреннее согласие («Вы часами пишете сценарии, выставляете свет, монтируете видео, публикуете его с замиранием сердца... и видите 200 просмотров и 0 реакций»). Описание детализируется до уровня ежедневных фрустраций. Психологический расчет строится на феномене «иллюзии прозрачности»: когда текст описывает проблему клиента точнее и глубже, чем сам клиент может ее артикулировать, в подсознании читателя автоматически формируется установка, что автор этого текста обладает идеальным решением.</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Этот блок часто оформляется в виде серии коротких вопросов, начинающихся со слов «Знакомо?», «Устали от того, что...», «Сколько раз вы пытались...». Такая структура заставляет пользователя внутренне отвечать «Да», формируя паттерн согласия (Yes-Set), который будет критически важен на этапе оглашения цены.</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Трансформационный мост: Концепция Уникального Механизма (Unique Mechanism)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 доведения осознания проблемы до пика, архитектура страницы вводит важнейший концептуальный элемент — «Уникальный механизм». Анализ высококонверсионных лендингов показывает, что предложение продукта, который позиционируется просто как «улучшенная версия» существующих решений, обречено на провал при работе с холодным трафиком. Аудитория уже обладает выработанным иммунитетом к стандартным обещаниям и пережила опыт неудачных покупок.</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Уникальный механизм — это смена парадигмы. Лендинг предлагает новую, неочевидную причину, по которой все предыдущие попытки пользователя решить проблему потерпели крах. Текст снимает вину с самого пользователя («Вы не виноваты в том, что старые методы не работают, алгоритмы изменились...») и перекладывает ее на внешние факторы или устаревшие инструменты. Одновременно с этим презентуется новый механизм — конкретный алгоритм, связка, фреймворк или нейросеть, который ранее был недоступен аудитории.</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Характеристика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Традиционное позиционирование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Позиционирование через Уникальный Механизм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Отношение к конкурентам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«Наш продукт лучше, полнее, качественнее»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«Наш продукт использует совершенно иной принцип»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Причина прошлых неудач клиента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Недостаток усилий, плохой тайм-менеджмент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Отсутствие доступа к правильному инструменту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Воспринимаемая ценность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Сравнивается с рыночными аналогами (ценовая конкуренция)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Воспринимается как эксклюзив (монополия на решение)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Реакция аудитории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Скептицизм, сравнение характеристик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Любопытство, эффект новизны, надежда</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Продукт позиционируется не как набор обучающих лекций (что ассоциируется с тяжелым трудом и затратами времени), а как физическое или системное воплощение этого нового механизма. Такой подход мгновенно выводит предложение из состояния ценовой конкуренции, так как уникальный механизм, имеющий авторское название (например, «Система авто-воронок 3.0» или «Каскадная модель»), невозможно напрямую сравнить с продуктами других авторов.</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Декомпозиция ценности и архитектура презентации продукта</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Только после того, как проблема актуализирована, а надежда возрождена через уникальный механизм, лендинг переходит к представлению самого продукта. Важнейшей структурной особенностью методологии Воскресенского является скрупулезная декомпозиция. Продукт разбивается на логические модули, шаги, дни или фазы [V_Methodology_10].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Ключевое правило этого блока: ни один элемент продукта не описывается через его технические свойства (например, «Модуль 1: 5 видеоуроков по 20 минут»). Каждый модуль транслируется исключительно через призму промежуточной трансформации и получаемого микро-результата. Описание модуля строится по формуле: «Что вы сделаете -&gt; Как вы это сделаете -&gt; Какой результат получите на этом этапе». Это создает ощущение неотвратимости успеха, так как глобальная, пугающая цель разбивается на понятные, легко осуществимые шаги.</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материализации неосязаемой цифровой ценности в этом блоке массово применяется конверсионный дизайн. Используются качественные мокапы (mockups) — 3D-визуализации коробок, открытых ноутбуков, планшетов и смартфонов, на экранах которых изображены интерфейсы курса, чек-листы или графики роста. Визуализация абстрактной информации в воспринимаемый физический объект критически важна, так как она снижает когнитивное сопротивление при расставании с реальными деньгами. Человеческий мозг эволюционно лучше понимает обмен денег на физический предмет, чем на доступ к ссылке в интернете.</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Экосистема бонусов: Стратегическое закрытие вторичных возражений</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Если основной продукт продает достижение главной цели, то блок бонусов, который следует сразу за декомпозицией продукта, выполняет иную функцию. В структуре прямых продаж бонусы не являются случайными дополнениями для создания искусственного объема. Они представляют собой тщательно продуманную экосистему, предназначенную для превентивного устранения вторичных возражений.</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Когда пользователь осознает ценность основного продукта, в его сознании неизбежно возникают новые страхи: «Да, система отличная, но у меня нет времени это внедрять», или «Я не умею писать тексты для этой системы», или «У меня нет денег на техническую реализацию». Каждое из этих возражений блокируется соответствующим бонусом. Например, бонус №1 («Готовые шаблоны текстов, которые скопировал-вставил») закрывает страх неумения писать; бонус №2 («Техническая настройка за 15 минут клик-за-кликом») снимает страх перед сложными программами.</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Каждый бонус презентуется как отдельный, самостоятельный продукт с собственной обложкой, описанием ценности и, что крайне важно, заявленной номинальной стоимостью. Это подготавливает пользователя к следующему, самому мощному конверсионному блоку лендинга.</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Анатомия оффера: Формирование ценностного стека (The Stack) и прайс-анкоринг</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Центральным узлом любой посадочной страницы в модели «продажи в лоб» является оффер. В методологии Воскресенского оффер никогда не сводится к простому оглашению названия продукта и кнопки с ценой. Он конструируется по классической модели директ-маркетинга — «Стек» (The Stack) [V_Methodology_13]. Цель стека — создание колоссальной асимметрии между воспринимаемой ценностью продукта (тем, сколько это должно стоить в сознании потребителя) и его фактической стоимостью.</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Процесс стекирования представляет собой визуальное подведение итогов всего, что получает клиент. На лендинге появляется четкий, часто маркированный список, где суммируется базовый продукт и все бонусы. Напротив каждого пункта указывается его адекватная, но высокая номинальная стоимость.</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Элемент оффера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Назначение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Заявленная ценность (Пример)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Основной продукт (Система)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Ядро ценности, главный механизм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25 000 руб.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Бонус 1: Библиотека шаблонов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Ускорение внедрения, экономия времени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10 000 руб.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Бонус 2: Мастер-класс по трафику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Решение смежной проблемы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15 000 руб.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Бонус 3: Закрытый чат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Социальная поддержка, комьюнити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5 000 руб.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Итоговая ценность стека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Формирование психологического якоря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55 000 руб.</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 того как выводится огромная итоговая сумма (например, 55 000 рублей), применяется когнитивное искажение «эффект привязки» (Anchoring effect). Эта высокая цифра служит якорем. Затем, с помощью контрастного сопоставления, страница демонстрирует реальную цену предложения для тех, кто действует прямо сейчас. Цена (например, 2 990 рублей) визуально перечеркивает якорь. На фоне 55 000 рублей сумма в 2 990 рублей кажется статистической погрешностью, вызывая ощущение невероятно выгодной сделки. Поведенческая экономика доказывает, что в этот момент боль от расставания с деньгами полностью перекрывается страхом упустить столь асимметричную выгоду (FOMO).</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гарантий и реверсия финансовых рисков</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Несмотря на мощный оффер, у холодного трафика всегда остается фундаментальный страх — страх быть обманутым и потерять деньги. Структура лендинга решает эту проблему через блок гарантий, который выходит далеко за рамки сухих юридических формулировок, типичных для корпоративных сайтов. В прямых продажах гарантия — это самостоятельный инструмент конверсии, позиционируемый как абсолютное перенесение рисков.</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Используются формулировки, подчеркивающие безусловность возврата средств (например, «100% гарантия возврата денег в течение 14 дней без лишних вопросов, если вы решите, что этот продукт не для вас»). Психологический механизм здесь работает на двух уровнях. Во-первых, это транслирует аудитории крайнюю степень уверенности автора в качестве своего продукта, что автоматически воспринимается как маркер надежности. Во-вторых, гарантия активирует «эффект владения» (Endowment effect). Как только человек совершает покупку, зная, что может легко вернуть деньги, он перестает воспринимать это как трату и начинает воспринимать это как безрисковый тест-драйв. Статистика инфобизнеса показывает, что реальный процент возвратов (Refund Rate) при наличии такой гарантии редко превышает 3-5%, тогда как конверсия в покупку (Conversion Rate) вырастает на 20-30% по сравнению с офферами без явной гарантии.</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Социальное доказательство 2.0: Трансформация кейсов и ROI-ориентированность</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Блок социальных доказательств претерпел значительную эволюцию в архитектуре прямых продаж. Классические текстовые отзывы формата «Спасибо автору, отличный курс, я многому научился» признаны неконверсионными. Холодный трафик игнорирует их, считая либо фейковыми, либо нерелевантными, так как они не демонстрируют измеримого результата [V_Methodology_16].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лендингах Воскресенского и его последователей блок отзывов трансформирован в галерею микро-кейсов. Структура эффективного кейса подчиняется формату «Точка А (Было) — Точка Б (Стало) — За счет чего (Примененный инструмент) — ROI (Окупаемость)». Каждый кейс стратегически подбирается для закрытия конкретного аватара целевой аудитории.</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Например:</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Кейс 1: Студент без бюджета (закрывает возражение «нужны деньги на старт»).</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Кейс 2: Мать в декрете (закрывает возражение «у меня нет времени на обучение»).</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Кейс 3: Предприниматель в узкой оффлайн-нише (закрывает возражение «в моей специфической теме это не сработает»).</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Визуальное оформление этого блока часто имитирует реальные интерфейсы: скриншоты переписок в Telegram, где видна дата и время, скриншоты банковских переводов или дашбордов аналитики с графиками роста. Это повышает уровень доверия за счет эффекта нативности и документальности контента. Акцент всегда делается на цифрах: за какой срок окупились инвестиции в курс.</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Микроструктура и лингвистическое программирование текста</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Эффективность макроструктуры была бы нулевой без соответствующей микроструктуры — на уровне предложений, слов и абзацев. Копирайтинг на лендингах прямых продаж характеризуется специфическим синтаксисом и ритмикой, направленными на удержание пользователя в состоянии непрерывного чтения (потока).</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Текст строится по принципу «скользкой горки» (Slippery Slide), сформулированному легендарным копирайтером Джозефом Шугерманом. Задача каждого первого предложения — заставить прочитать второе, задача второго — заставить прочитать третье. Для достижения этого эффекта используются предельно короткие, рубленые абзацы (не более 3-4 строк). Длинные полотна текста (walls of text) категорически исключаются, так как они вызывают когнитивную усталость.</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Активно применяются «слова-связки» (bucket brigades) или транзитные фразы, которые часто выделяются жирным шрифтом и ставятся на отдельную строку:</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«Но это еще не все...»</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«Подумайте об этом:»</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«И вот почему это меняет правила игры...»</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«Смотрите:»</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Эти элементы создают ритмические паузы и подогревают интригу. Глаголы используются преимущественно в повелительном наклонении, а пассивный залог полностью искореняется из текста, так как он снижает динамику повествования. Также применяется техника предвосхищения (читательского резонанса): автор встраивает в текст фразы вроде «Сейчас вы, наверное, думаете, что...», озвучивая сомнения читателя в реальном времени. Это создает мощнейшую иллюзию живого, эмпатичного диалога, заставляя пользователя чувствовать, что лендинг «читает его мысли».</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триггеров дефицита и срочности (Scarcity &amp; Urgency)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того чтобы конвертировать желание в немедленное действие, структура лендинга обязана включать ограничители. Без дефицита (Scarcity) и срочности (Urgency) пользователь склонен откладывать решение («я куплю завтра», «подумаю после зарплаты»), что в реалиях интернет-маркетинга равносильно потере клиента навсегда.</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Инструментарий включает визуальные таймеры обратного отсчета до повышения цены или сгорания эксклюзивных бонусов. Однако анализ показывает, что искусственный дефицит работает все хуже из-за выработки резистентности у аудитории. Поэтому в продвинутых структурах лендингов ограничители логически обосновываются. Например, ограничение количества мест объясняется не жадностью продавца, а физической пропускной способностью кураторов или серверов. Срочность действия обосновывается тем, что «алгоритмы меняются каждый день, и та связка, которая работает сегодня, может перестать работать через месяц». Это логическое обоснование (Reason Why) делает триггер правдоподобным и многократно усиливает его конверсионную силу [V_Methodology_19].</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Визуальная иерархия и UX/UI паттерны конверсионного дизайна</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Дизайн лендинга в парадигме прямых продаж полностью подчинен функции управления вниманием. Эстетика и брендинг отходят на второй план; главной метрикой успешности дизайна является его способность вести взгляд пользователя к кнопке оплаты.</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Страницы конструируются с учетом паттернов сканирования контента (в частности, F-паттерна и Z-паттерна). Используется метод экстремального контраста. Фон страницы часто делается максимально нейтральным (белым или темно-серым без сложных паттернов), чтобы текстовые блоки и, что критически важно, кнопки призыва к действию (CTA — Call to Action) выделялись предельно ярко. Для кнопок выбираются цвета, комплементарные или контрастирующие с основной палитрой сайта (например, ярко-оранжевый или кислотно-зеленый на темном фоне). Это эксплуатирует «эффект Ресторфф» (Von Restorff effect) — объект, выделяющийся из ряда однородных, запоминается и привлекает внимание лучше всего.</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Текст обильно форматируется: используются выделения желтым маркером, жирный шрифт, красные подчеркивания и эмодзи. Это формирует «второй слой» чтения. Пользователь, который быстро пролистывает страницу (skimmer), должен понять всю суть предложения, читая только выделенные фрагменты.</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Фундаментальным правилом конверсионного UX является элиминация точек выхода. На странице нет ссылок на социальные сети, статей блога или внешних ресурсов. Кнопки CTA распределены по всей длине лендинга (обычно каждые 1.5 - 2 экрана), обеспечивая возможность совершить транзакцию в любой момент эмоционального пика. Текст на кнопках персонализирован: вместо скучного «Купить», используется формулировка с позиции первого лица, описывающая результат — «Получить доступ к системе» или «Забрать шаблоны прямо сейчас».</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Абсолютным приоритетом является мобильная оптимизация (Mobile-First Design). Поскольку до 95% трафика в модели Воскресенского генерируется из вертикальных видео в социальных сетях (Instagram Reels, Telegram-каналы), десктопная версия лендинга вторична. Размеры шрифтов, отступы и размеры кнопок рассчитываются исключительно под эргономику использования смартфона одной рукой.</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Checkout-зоны: Order Bumps и бесшовные транзакции</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анализ архитектуры продаж в лоб показывает, что продающий лендинг — это лишь вершина айсберга в математике воронки. Сам по себе лендинг, продающий недорогой продукт (Tripwire), редко способен генерировать значительную прибыль из-за высокой стоимости трафика. Секрет эффективности модели кроется в бесшовной интеграции лендинга с зоной оформления заказа (Checkout) и последующими допродажами.</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Когда пользователь нажимает на кнопку CTA, он не должен попадать на сложную форму регистрации. Окно оплаты часто открывается во всплывающем окне (Pop-up) или переводит на минималистичную страницу, где требуется ввести только имя, email и телефон. Именно здесь применяется критически важный элемент — Order Bump (кросс-селл на этапе оформления заказа).</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Bump представляет собой небольшое поле с чекбоксом прямо над кнопкой «Оплатить». Текст предлагает добавить к заказу сопутствующий микро-продукт (например, чек-лист, аудио-версию курса или набор промптов для нейросети) за символическую доплату (например, 990 рублей).</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Когнитивный механизм Order Bump заключается в том, что пользователь уже принял внутреннее решение о покупке и достал кредитную карту. Состояние покупателя в этот момент максимально открыто к небольшим дополнительным тратам. Добавление товара одним кликом (One-click upsell) не требует повторного ввода данных карты. Статистика подобных воронок показывает, что Take Rate (процент согласия) на качественный Order Bump составляет от 30% до 50%, что мгновенно увеличивает средний чек (AOV - Average Order Value) без дополнительных затрат на трафик [V_Methodology_22].</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Пост-конверсионная архитектура: OTO (One Time Offer) и экономика привлечения</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Магия методологии Яна Воскресенского и подобных систем раскрывается сразу после того, как прошла первая оплата. Вместо стандартной страницы «Спасибо за покупку, проверьте почту», пользователь попадает на страницу OTO (One Time Offer — Одноразовое предложение).</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Это полноценный мини-лендинг, часто с видео-обращением, который предлагает купить флагманский продукт, коучинг или годовой доступ в закрытый клуб с огромной скидкой, действующей только в течение следующих 15 минут.</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воронки подчиняется строгой математической логике, описываемой уравнениями юнит-экономики:</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Основная формула окупаемости (ROAS - Return on Ad Spend) выглядит следующим образом:</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656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50656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Где Средний чек (AOV) формируется из суммы покупок на всех этапах:</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326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3732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Где </w:t>
      </w:r>
      <w:r w:rsidDel="00000000" w:rsidR="00000000" w:rsidRPr="00000000">
        <w:rPr>
          <w:rFonts w:ascii="Google Sans" w:cs="Google Sans" w:eastAsia="Google Sans" w:hAnsi="Google Sans"/>
          <w:i w:val="1"/>
          <w:iCs w:val="1"/>
          <w:color w:val="1f1f1f"/>
        </w:rPr>
        <w:drawing>
          <wp:inline distB="19050" distT="19050" distL="19050" distR="19050">
            <wp:extent cx="143991" cy="23038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 цена продукта, а </w:t>
      </w:r>
      <w:r w:rsidDel="00000000" w:rsidR="00000000" w:rsidRPr="00000000">
        <w:rPr>
          <w:rFonts w:ascii="Google Sans" w:cs="Google Sans" w:eastAsia="Google Sans" w:hAnsi="Google Sans"/>
          <w:i w:val="1"/>
          <w:iCs w:val="1"/>
          <w:color w:val="1f1f1f"/>
        </w:rPr>
        <w:drawing>
          <wp:inline distB="19050" distT="19050" distL="19050" distR="19050">
            <wp:extent cx="249138" cy="22997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9138" cy="22997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 Take Rate (конверсия в допродажу).</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Продающий лендинг (frontend), структура которого подробно разобрана выше, служит только одной финансовой цели — окупить затраты на рекламу (Customer Acquisition Cost - CAC). Если лендинг конвертирует холодный трафик на уровне 2-4%, то выручка с первого продукта покрывает расходы на маркетинг. Вся чистая прибыль (Profit) генерируется исключительно за счет Order Bumps и OTO. Таким образом, агрессивная структура, стеки, гарантии и триггеры на основном лендинге жизненно необходимы: падение конверсии лендинга всего на 1% может сделать всю бизнес-модель убыточной.</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Синергия трафика: Message Match и континуальность сообщения</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структуры будет неполным без понимания того, как лендинг взаимодействует с внешними источниками. В методологии прямых продаж лендинг не существует в вакууме. Он является логическим продолжением рекламного креатива (например, сценария Reel).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Успех конверсии критически зависит от концепции «соответствия сообщения» (Message Match). Психологический фрейм, сформированный роликом, должен бесшовно перетекать в контент первого экрана. Если короткое видео обещало «связку для привлечения премиум-клиентов через Telegram», то заголовок лендинга должен немедленно подтвердить это теми же словами и визуальными образами. Любой когнитивный диссонанс или смена тональности (например, видео было агрессивным и динамичным, а сайт оказался академичным и медленным) приводит к моментальному отказу от просмотра (Bounce Rate стремится к 90%).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Рекламные видеоролики в этой модели выполняют функцию пре-фрейминга (Pre-framing). К моменту перехода по ссылке аудитория уже предварительно «разогрета» концепцией уникального механизма. Задача посадочной страницы сводится не к обучению с нуля, а к подтверждению авторитета, доказательству концепции через кейсы и процессингу оплаты.</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Блок FAQ как скрытый инструмент финальной конверсии</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Заключительным структурным элементом, расположенным перед самым последним призывом к действию (подвалом сайта), является блок часто задаваемых вопросов (FAQ - Frequently Asked Questions). В традиционном веб-дизайне этот блок носит сугубо справочный, информационный характер. В архитектуре агрессивных конверсий FAQ трансформируется в мощный инструмент финальной обработки возражений [V_Methodology_25].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Вопросы для этого блока не берутся из реальных обращений в службу поддержки (как правило, это банальные вопросы про пароли). Вопросы формулируются на основе карты скрытых, глубоких страхов целевой аудитории. Каждый ответ конструируется по принципу «Да, но...» или рефрейминга проблемы.</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Например, вопрос «Подойдет ли мне это, если я новичок и у меня нет аудитории?» получает структурно выверенный ответ: «Эта система создавалась ИМЕННО для тех, у кого нет аудитории. Вам не придется танцевать в сторис или снимать влоги. Механизм работает на алгоритмах холодного трафика, поэтому отсутствие базы — это даже плюс, вам не придется переучивать старую аудиторию». Таким образом, FAQ аккумулирует остаточный скептицизм самых дотошных пользователей, которые доскроллили до конца страницы, и конвертирует их сомнения в аргументы для покупки.</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Последствия второго и третьего порядка: Влияние на рынок и LTV</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Массовое применение архитектуры прямых продаж, популяризированной инфо-продюсерами уровня Воскресенского, влечет за собой глубокие последствия для всего рынка цифрового образования. Анализ этих эффектов второго и третьего порядка позволяет прогнозировать дальнейшее развитие индустрии.</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Феномен баннерной слепоты.</w:t>
      </w:r>
      <w:r w:rsidDel="00000000" w:rsidR="00000000" w:rsidRPr="00000000">
        <w:rPr>
          <w:rFonts w:ascii="Google Sans" w:cs="Google Sans" w:eastAsia="Google Sans" w:hAnsi="Google Sans"/>
          <w:color w:val="1f1f1f"/>
          <w:rtl w:val="0"/>
        </w:rPr>
        <w:t xml:space="preserve"> Чем чаще аудитория сталкивается с формульными заголовками, перечеркнутыми ценами, таймерами и агрессивными стеками бонусов, тем быстрее у нее формируется «когнитивная слепота» к этим паттернам. Потребители учатся на подсознательном уровне распознавать маркетинговые манипуляции. Это вынуждает создателей воронок непрерывно эволюционировать. Современные лендинги становятся длиннее, аргументация — глубже, а дизайн — более кинематографичным, чтобы пробить возросшую броню потребительского цинизма. Фокус смещается от примитивного давления дефицитом к сложному сторителлингу и глубокой аналитике болей клиента.</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Жизненный цикл клиента (LTV - Lifetime Value).</w:t>
      </w:r>
      <w:r w:rsidDel="00000000" w:rsidR="00000000" w:rsidRPr="00000000">
        <w:rPr>
          <w:rFonts w:ascii="Google Sans" w:cs="Google Sans" w:eastAsia="Google Sans" w:hAnsi="Google Sans"/>
          <w:color w:val="1f1f1f"/>
          <w:rtl w:val="0"/>
        </w:rPr>
        <w:t xml:space="preserve"> Модель «продажи в лоб» по своей природе является сугубо транзакционной. В отличие от длинных воронок, где лояльность выстраивается неделями бесплатного общения, агрессивный лендинг конвертирует клиента на пике краткосрочной эмоции и логики. Следствием этого является специфика ожиданий покупателя. Клиент, приобретший продукт под воздействием идеального лендинга, ожидает, что сам продукт окажет на него такой же мощный «вау-эффект». Если образовательный продукт (курс, гайд, система) не обладает безупречной методологией, высоким качеством продакшена и не дает быстрых побед (Quick Wins) в первые 15 минут изучения, клиент испытывает глубокое разочарование.</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Это приводит к снижению показателя повторных покупок (Repeat Purchase Rate) и падению LTV. Таким образом, архитектура продающего лендинга налагает колоссальную ответственность на сам продукт. В долгосрочной перспективе выживают только те проекты, где уровень доставки ценности (Delivery) соответствует или превосходит уровень маркетинговых обещаний, заявленных на первом экране лендинга.</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Заключение: Архитектура поведения в цифровой среде</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Проведенное глубокое исследование макро- и микроструктуры продающих лендингов в парадигме прямых продаж доказывает, что эффективность данной модели является результатом сложного синтеза нейробиологии, поведенческой экономики, лингвистического программирования и строгой математической логики.</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Методология, используемая в проектах формата Яна Воскресенского, представляет собой алгоритм инженерии согласия. Каждый структурный блок — от захвата внимания через эскалацию боли, до презентации уникального механизма, агрессивного стекирования ценности и бесшовной интеграции пост-клик допродаж (OTO) — выполняет строго определенную функцию в воронке устранения когнитивного сопротивления. Лендинг перестает быть текстом и становится интерактивным симулятором принятия решений, где пользователю шаг за шагом демонстрируют иррациональность отказа от предложения.</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Несмотря на риски, связанные с постепенным выгоранием аудитории к стандартным триггерам и необходимостью постоянной адаптации офферов, архитектура прямого отклика остается одним из самых рентабельных инструментов монетизации трафика. Она задает новые стандарты конверсионного дизайна, вынуждая весь рынок переходить от абстрактного брендинга к измеримому, результативному копирайтингу, где каждое слово на посадочной странице должно быть экономически оправдано. В конечном итоге, успех в этой парадигме определяется способностью автора не просто продать информацию, а продать трансформацию, безупречно упаковав ее в логически неуязвимую архитектуру цифрового убеждения.</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