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Toolkit técnico de mantenimiento</w:t>
      </w:r>
    </w:p>
    <w:p>
      <w:r>
        <w:rPr>
          <w:b/>
        </w:rPr>
        <w:t>Guía de implementación para SAP PM MM CO PP y Power BI</w:t>
      </w:r>
    </w:p>
    <w:p>
      <w:r>
        <w:t>Este documento define cómo desplegar y gobernar la suite. La recomendación central es operar una sola cadena de datos, con cada indicador reconciliado contra su transacción SAP y cada iniciativa de mejora cerrada con ahorro validado y un estándar actualizado.</w:t>
      </w:r>
    </w:p>
    <w:p>
      <w:pPr>
        <w:pStyle w:val="Heading1"/>
      </w:pPr>
      <w:r>
        <w:t>Decisiones de diseño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Modelo estrella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Dimensiones filtran hechos con relaciones 1 a N y dirección única.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Calendario común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DimFecha gobierna las siete tablas de hechos y evita lógicas temporales duplicadas.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Trazabilidad SAP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Cada KPI y visual declara la transacción de origen.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Brechas explícitas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El sistema etiqueta proxies y no presenta estimaciones como datos auditados.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Mejora enfocada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Las pérdidas se convierten en A3 con criterio de salida financiero y técnico.</w:t>
            </w:r>
          </w:p>
        </w:tc>
      </w:tr>
    </w:tbl>
    <w:p>
      <w:pPr>
        <w:spacing w:after="0"/>
      </w:pPr>
    </w:p>
    <w:p>
      <w:pPr>
        <w:pStyle w:val="Heading1"/>
      </w:pPr>
      <w:r>
        <w:t>Arquitectura operativa</w:t>
      </w:r>
    </w:p>
    <w:p>
      <w:r>
        <w:t>La solución separa cinco capas: extracción SAP, transformación Power Query, modelo semántico TMDL, medidas DAX y presentación PBIR. El repositorio mantiene todos los artefactos en texto cuando Power BI lo permite, lo que habilita revisión de cambios y CI.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principal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Origen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Extractos PM, MM, CO y PP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Frecuencia y responsable por transacción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Transformación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Tipos, derivadas y banderas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Contrato de esquema y reglas reproducibles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Modelo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15 tablas y relaciones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Claves, cardinalidad y dirección de filtro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Semántica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79 medidas DAX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Definición, unidad y fuente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Presentación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12 páginas y 174 visuales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Pregunta de negocio y decisión esperada</w:t>
            </w:r>
          </w:p>
        </w:tc>
      </w:tr>
    </w:tbl>
    <w:p>
      <w:pPr>
        <w:spacing w:after="0"/>
      </w:pPr>
    </w:p>
    <w:p>
      <w:pPr>
        <w:pStyle w:val="Heading1"/>
      </w:pPr>
      <w:r>
        <w:t>Contrato de extracción SAP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Transacciones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Ordenes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IW39 IW38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Mix, backlog, cierre, HH y costo por orden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Avisos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IW28 IW29 IW59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Fallas, causa, duración de parada y MTTR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Planes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IP15 IP24 IP30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Cumplimiento preventivo y vencimientos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Costos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KOB1 KSB1 S_ALR_87013558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Real, plan, comprometido y clase de costo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Materiales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MB51 MB52 MM03 ME2N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Consumo, stock, criticidad y lead time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Producción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COOIS MCRE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Toneladas, horas de operación y disponibilidad</w:t>
            </w:r>
          </w:p>
        </w:tc>
      </w:tr>
    </w:tbl>
    <w:p>
      <w:pPr>
        <w:spacing w:after="0"/>
      </w:pPr>
    </w:p>
    <w:p>
      <w:pPr>
        <w:pStyle w:val="Heading1"/>
      </w:pPr>
      <w:r>
        <w:t>Definiciones de indicadores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MTTR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Horas de parada de avisos divididas por número de fallas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usar HH de orden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MTBF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Horas equipo operativas divididas por averías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Multiplicar horas de línea por equipos aplicables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Backlog HH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HH plan menos HH real para órdenes abiertas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Excluir órdenes cerradas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Disponibilidad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Uno menos horas de detención sobre horas de operación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Fuente PP más avisos PM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Costo por tonelada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Costo real dividido por toneladas producidas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Conciliar CO con PP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Calidad de datos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Uno menos banderas sobre controles posibles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dividir banderas solo por órdenes</w:t>
            </w:r>
          </w:p>
        </w:tc>
      </w:tr>
    </w:tbl>
    <w:p>
      <w:pPr>
        <w:spacing w:after="0"/>
      </w:pPr>
    </w:p>
    <w:p>
      <w:pPr>
        <w:pStyle w:val="Heading1"/>
      </w:pPr>
      <w:r>
        <w:t>Ritmo de gestión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Frecuencia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Foro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Diaria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Reunión de mantenimiento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Emergencias, backlog detenido y repuestos críticos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Semanal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Programación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Carga, capacidad, PM vencido y cierre técnico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Mensual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Revisión de desempeño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Costo, confiabilidad y cartera de mejora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Trimestral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Comité de activos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Prioridades de renovación y cierre de brechas</w:t>
            </w:r>
          </w:p>
        </w:tc>
      </w:tr>
    </w:tbl>
    <w:p>
      <w:pPr>
        <w:spacing w:after="0"/>
      </w:pPr>
    </w:p>
    <w:p>
      <w:pPr>
        <w:pStyle w:val="Heading1"/>
      </w:pPr>
      <w:r>
        <w:t>Ciclo de mejora enfocada</w:t>
      </w:r>
    </w:p>
    <w:p>
      <w:r>
        <w:rPr>
          <w:b/>
        </w:rPr>
        <w:t xml:space="preserve">Plan. </w:t>
      </w:r>
      <w:r>
        <w:t>Cuantificar la pérdida, fijar meta y validar causa raíz.</w:t>
      </w:r>
    </w:p>
    <w:p>
      <w:r>
        <w:rPr>
          <w:b/>
        </w:rPr>
        <w:t xml:space="preserve">Do. </w:t>
      </w:r>
      <w:r>
        <w:t>Ejecutar contramedidas mediante órdenes PM04 vinculadas al A3.</w:t>
      </w:r>
    </w:p>
    <w:p>
      <w:r>
        <w:rPr>
          <w:b/>
        </w:rPr>
        <w:t xml:space="preserve">Check. </w:t>
      </w:r>
      <w:r>
        <w:t>Medir el cambio a 30, 60 y 90 días con la misma definición de KPI.</w:t>
      </w:r>
    </w:p>
    <w:p>
      <w:r>
        <w:rPr>
          <w:b/>
        </w:rPr>
        <w:t xml:space="preserve">Act. </w:t>
      </w:r>
      <w:r>
        <w:t>Actualizar el plan preventivo y confirmar el ahorro en CO antes de cerrar.</w:t>
      </w:r>
    </w:p>
    <w:p>
      <w:pPr>
        <w:pStyle w:val="Heading1"/>
      </w:pPr>
      <w:r>
        <w:t>Calidad de datos y brechas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Brecha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36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Velocidad nominal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OEE incompleto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Integrar MES o maestro de velocidad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Defectos y reproceso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Componente de calidad ausente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Integrar sistema de calidad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Capacidad por puesto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Backlog en semanas usa proxy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Mantener CR03 por especialidad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Causa raíz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Pareto poco accionable</w:t>
            </w:r>
          </w:p>
        </w:tc>
        <w:tc>
          <w:tcPr>
            <w:tcW w:type="dxa" w:w="336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Normalizar catálogos de daño y causa</w:t>
            </w:r>
          </w:p>
        </w:tc>
      </w:tr>
    </w:tbl>
    <w:p>
      <w:pPr>
        <w:spacing w:after="0"/>
      </w:pPr>
    </w:p>
    <w:p>
      <w:pPr>
        <w:pStyle w:val="Heading1"/>
      </w:pPr>
      <w:r>
        <w:t>Despliegue y control de cambios</w:t>
      </w:r>
    </w:p>
    <w:p>
      <w:r>
        <w:t>El equipo debe ejecutar python scripts/build.py y python -m unittest discover -s tests -v antes de cada publicación. GitHub Actions repite el build, valida datos y estructura PBIP, y publica el mockup en GitHub Pages desde la rama main.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Puerta</w:t>
            </w:r>
          </w:p>
        </w:tc>
        <w:tc>
          <w:tcPr>
            <w:tcW w:type="dxa" w:w="5040"/>
            <w:shd w:fill="0E1C33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Criterio de salida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PK y FK válidas, tipos correctos y dataset reproducible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Modelo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15 tablas, al menos 40 medidas y relaciones documentadas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Experiencia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12 páginas, chips SAP y brechas visibles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Publicación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CI verde y artefacto Pages desplegado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Maintenance Performance Suite  |  Datos sintéticos  |  Uso metodológico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