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f1juol8xxl38"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r w:rsidDel="00000000" w:rsidR="00000000" w:rsidRPr="00000000">
        <w:rPr>
          <w:rtl w:val="0"/>
        </w:rPr>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fd1fasfkhhdp"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rwumdie9p1xr"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87frwfl0dcfd"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mnkwd0swb0qk"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2"/>
        <w:rPr>
          <w:color w:val="34495e"/>
        </w:rPr>
      </w:pPr>
      <w:bookmarkStart w:colFirst="0" w:colLast="0" w:name="_6a59yoxokrkw" w:id="5"/>
      <w:bookmarkEnd w:id="5"/>
      <w:r w:rsidDel="00000000" w:rsidR="00000000" w:rsidRPr="00000000">
        <w:rPr>
          <w:color w:val="34495e"/>
          <w:rtl w:val="0"/>
        </w:rPr>
        <w:t xml:space="preserve">Día 9</w:t>
      </w:r>
    </w:p>
    <w:p w:rsidR="00000000" w:rsidDel="00000000" w:rsidP="00000000" w:rsidRDefault="00000000" w:rsidRPr="00000000" w14:paraId="0000003C">
      <w:pPr>
        <w:rPr/>
      </w:pPr>
      <w:r w:rsidDel="00000000" w:rsidR="00000000" w:rsidRPr="00000000">
        <w:rPr>
          <w:rtl w:val="0"/>
        </w:rPr>
        <w:t xml:space="preserve">En esta etapa realizamos un análisis crítico sobre el planteamiento del uso real y la aplicabilidad comercial de WAItt en el entorno industrial y profesional. Debatimos y evaluamos si las empresas e industrias tecnológicas realmente adoptarían e implementarían una solución de este tipo, considerando factores clave como el retorno de inversión, la reducción de costos por fallas térmicas en equipos y la optimización en la eficiencia operativa diaria de los centros de datos. </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E">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3F">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40">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