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color w:val="34495e"/>
        </w:rPr>
      </w:pPr>
      <w:bookmarkStart w:colFirst="0" w:colLast="0" w:name="_xrwl0og7negd" w:id="10"/>
      <w:bookmarkEnd w:id="10"/>
      <w:r w:rsidDel="00000000" w:rsidR="00000000" w:rsidRPr="00000000">
        <w:rPr>
          <w:color w:val="34495e"/>
          <w:rtl w:val="0"/>
        </w:rPr>
        <w:t xml:space="preserve">Día 14</w:t>
      </w:r>
    </w:p>
    <w:p w:rsidR="00000000" w:rsidDel="00000000" w:rsidP="00000000" w:rsidRDefault="00000000" w:rsidRPr="00000000" w14:paraId="0000007C">
      <w:pPr>
        <w:rPr/>
      </w:pPr>
      <w:r w:rsidDel="00000000" w:rsidR="00000000" w:rsidRPr="00000000">
        <w:rPr>
          <w:b w:val="1"/>
          <w:bCs w:val="1"/>
          <w:rtl w:val="0"/>
        </w:rPr>
        <w:t xml:space="preserve">Integración de módulos de telemetría y registro</w:t>
      </w:r>
      <w:r w:rsidDel="00000000" w:rsidR="00000000" w:rsidRPr="00000000">
        <w:rPr>
          <w:rtl w:val="0"/>
        </w:rPr>
        <w:t xml:space="preserve"> Se desarrollaron e integraron los scripts dedicados a la lectura, registro y transmisión de telemetría proveniente de la red de sensores. Estos módulos son los encargados de capturar las variables físicas críticas del entorno (como temperatura) en tiempo real, filtrar el ruido de las señales en crudo y estructurar la información para su persistencia en la base de datos. Esta etapa de adquisición es un prerrequisito fundamental para la construcción del </w:t>
      </w:r>
      <w:r w:rsidDel="00000000" w:rsidR="00000000" w:rsidRPr="00000000">
        <w:rPr>
          <w:i w:val="1"/>
          <w:iCs w:val="1"/>
          <w:rtl w:val="0"/>
        </w:rPr>
        <w:t xml:space="preserve">dataset</w:t>
      </w:r>
      <w:r w:rsidDel="00000000" w:rsidR="00000000" w:rsidRPr="00000000">
        <w:rPr>
          <w:rtl w:val="0"/>
        </w:rPr>
        <w:t xml:space="preserve"> histórico que alimentará el entrenamiento, validación y las inferencias del modelo de Inteligencia Artificial.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color w:val="34495e"/>
        </w:rPr>
      </w:pPr>
      <w:bookmarkStart w:colFirst="0" w:colLast="0" w:name="_y83dnnyw12pa" w:id="11"/>
      <w:bookmarkEnd w:id="11"/>
      <w:r w:rsidDel="00000000" w:rsidR="00000000" w:rsidRPr="00000000">
        <w:rPr>
          <w:color w:val="34495e"/>
          <w:rtl w:val="0"/>
        </w:rPr>
        <w:t xml:space="preserve">Día 15</w:t>
      </w:r>
    </w:p>
    <w:p w:rsidR="00000000" w:rsidDel="00000000" w:rsidP="00000000" w:rsidRDefault="00000000" w:rsidRPr="00000000" w14:paraId="0000007F">
      <w:pPr>
        <w:rPr/>
      </w:pPr>
      <w:r w:rsidDel="00000000" w:rsidR="00000000" w:rsidRPr="00000000">
        <w:rPr>
          <w:b w:val="1"/>
          <w:bCs w:val="1"/>
          <w:rtl w:val="0"/>
        </w:rPr>
        <w:t xml:space="preserve">Interfaz de comunicación serial hardware-backend</w:t>
      </w:r>
      <w:r w:rsidDel="00000000" w:rsidR="00000000" w:rsidRPr="00000000">
        <w:rPr>
          <w:rtl w:val="0"/>
        </w:rPr>
        <w:t xml:space="preserve"> Se estableció y configuró exitosamente la interfaz de comunicación física y de software a través de los puertos seriales entre el microcontrolador (Arduino) y el procesador central (Raspberry Pi). Esta conexión garantiza un flujo de datos bidireccional de baja latencia; el Arduino opera en la capa </w:t>
      </w:r>
      <w:r w:rsidDel="00000000" w:rsidR="00000000" w:rsidRPr="00000000">
        <w:rPr>
          <w:i w:val="1"/>
          <w:iCs w:val="1"/>
          <w:rtl w:val="0"/>
        </w:rPr>
        <w:t xml:space="preserve">Edge</w:t>
      </w:r>
      <w:r w:rsidDel="00000000" w:rsidR="00000000" w:rsidRPr="00000000">
        <w:rPr>
          <w:rtl w:val="0"/>
        </w:rPr>
        <w:t xml:space="preserve"> gestionando la lectura de sensores y el control eléctrico de actuadores, mientras que la Raspberry Pi actúa como el nodo central de procesamiento, evaluando la telemetría recibida para orquestar las decisiones de estrangulamiento térmico inteligente (</w:t>
      </w:r>
      <w:r w:rsidDel="00000000" w:rsidR="00000000" w:rsidRPr="00000000">
        <w:rPr>
          <w:i w:val="1"/>
          <w:iCs w:val="1"/>
          <w:rtl w:val="0"/>
        </w:rPr>
        <w:t xml:space="preserve">thermal throttling</w:t>
      </w:r>
      <w:r w:rsidDel="00000000" w:rsidR="00000000" w:rsidRPr="00000000">
        <w:rPr>
          <w:rtl w:val="0"/>
        </w:rPr>
        <w:t xml:space="preserve">).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rPr>
          <w:color w:val="34495e"/>
        </w:rPr>
      </w:pPr>
      <w:bookmarkStart w:colFirst="0" w:colLast="0" w:name="_54kkbes5ze4e" w:id="12"/>
      <w:bookmarkEnd w:id="12"/>
      <w:r w:rsidDel="00000000" w:rsidR="00000000" w:rsidRPr="00000000">
        <w:rPr>
          <w:color w:val="34495e"/>
          <w:rtl w:val="0"/>
        </w:rPr>
        <w:t xml:space="preserve">Día 16</w:t>
      </w:r>
    </w:p>
    <w:p w:rsidR="00000000" w:rsidDel="00000000" w:rsidP="00000000" w:rsidRDefault="00000000" w:rsidRPr="00000000" w14:paraId="00000093">
      <w:pPr>
        <w:pStyle w:val="Heading3"/>
        <w:spacing w:after="80" w:before="280" w:lineRule="auto"/>
        <w:rPr>
          <w:sz w:val="26"/>
          <w:szCs w:val="26"/>
        </w:rPr>
      </w:pPr>
      <w:bookmarkStart w:colFirst="0" w:colLast="0" w:name="_ovfr3xexjbhl" w:id="13"/>
      <w:bookmarkEnd w:id="13"/>
      <w:r w:rsidDel="00000000" w:rsidR="00000000" w:rsidRPr="00000000">
        <w:rPr>
          <w:sz w:val="26"/>
          <w:szCs w:val="26"/>
          <w:rtl w:val="0"/>
        </w:rPr>
        <w:t xml:space="preserve">Núcleo del Backend (Dispatcher y Cola de Prioridad)</w:t>
      </w:r>
    </w:p>
    <w:p w:rsidR="00000000" w:rsidDel="00000000" w:rsidP="00000000" w:rsidRDefault="00000000" w:rsidRPr="00000000" w14:paraId="00000094">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Implementación de la cola de prioridad, pool global y dispatcher en el backend. Se desarrolló e integró en el backend del proyecto WAItt la arquitectura de gestión de tareas basada en una cola de prioridad, un pool global de recursos y un componente dispatcher. Esta implementación permite administrar de forma eficiente las solicitudes de optimización térmica y las cargas computacionales, asegurando que los procesos críticos de control hídrico se ejecuten de manera ordenada y con la prioridad adecuada dentro del sistema ciberfísico.</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99">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9A">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