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4"/>
        </w:rPr>
        <w:t>MENDOCINO FARMS</w:t>
      </w:r>
    </w:p>
    <w:p>
      <w:pPr>
        <w:jc w:val="center"/>
      </w:pPr>
      <w:r>
        <w:rPr>
          <w:b/>
          <w:color w:val="0066B3"/>
          <w:sz w:val="28"/>
        </w:rPr>
        <w:t>Drive-Time Targeting Upgrade: A Meta Advertising Case Study</w:t>
      </w:r>
    </w:p>
    <w:p/>
    <w:p>
      <w:pPr>
        <w:pStyle w:val="Heading1"/>
      </w:pPr>
      <w:r>
        <w:rPr>
          <w:color w:val="003366"/>
          <w:sz w:val="28"/>
        </w:rPr>
        <w:t>The Client</w:t>
      </w:r>
    </w:p>
    <w:p>
      <w:r>
        <w:rPr>
          <w:sz w:val="22"/>
        </w:rPr>
        <w:t xml:space="preserve">Mendocino Farms is a premium fast-casual restaurant chain operating across California, Texas, Washington, Colorado, and other markets. The brand is known for its chef-crafted sandwiches, salads, and bowls, with a strong emphasis on catering and digital ordering. Their Meta advertising program runs two parallel workstreams: </w:t>
      </w:r>
      <w:r>
        <w:rPr>
          <w:b/>
          <w:color w:val="0066B3"/>
        </w:rPr>
        <w:t>Evergreen store campaigns</w:t>
      </w:r>
      <w:r>
        <w:t xml:space="preserve"> focused on driving catering bookings and online orders (web purchases), and </w:t>
      </w:r>
      <w:r>
        <w:rPr>
          <w:b/>
          <w:color w:val="0066B3"/>
        </w:rPr>
        <w:t>New Store Opening (NSO) campaigns</w:t>
      </w:r>
      <w:r>
        <w:t xml:space="preserve"> designed to build awareness, drive 3-second video plays (thruplays), and generate MyMendo loyalty program sign-ups.</w:t>
      </w:r>
    </w:p>
    <w:p/>
    <w:p>
      <w:pPr>
        <w:pStyle w:val="Heading1"/>
      </w:pPr>
      <w:r>
        <w:rPr>
          <w:color w:val="003366"/>
          <w:sz w:val="28"/>
        </w:rPr>
        <w:t>The Advertising &amp; Media Challenge</w:t>
      </w:r>
    </w:p>
    <w:p>
      <w:r>
        <w:rPr>
          <w:sz w:val="22"/>
        </w:rPr>
        <w:t xml:space="preserve">Prior to February 2025, every Mendocino Farms store campaign was built on a uniform </w:t>
      </w:r>
      <w:r>
        <w:rPr>
          <w:b/>
        </w:rPr>
        <w:t>10-mile radius targeting model</w:t>
      </w:r>
      <w:r>
        <w:t>. While simple to implement, this approach introduced a fundamental flaw: it treated geographic distance as a proxy for consumer accessibility, ignoring the reality that drive time — not straight-line distance — is what determines whether a guest will visit a restaurant.</w:t>
      </w:r>
    </w:p>
    <w:p>
      <w:r>
        <w:rPr>
          <w:sz w:val="22"/>
        </w:rPr>
        <w:t>The consequences were measurable. In dense urban markets like Los Angeles, a 10-mile radius captured audiences that were 30–45 minutes away by car — far outside any realistic lunch or dinner consideration window. In suburban markets with highway access, the same radius failed to capture commuter corridors where guests were highly likely to visit. Lunch behavior, driven by proximity and speed, differs fundamentally from dinner behavior, which is more planned and destination-driven. A single radius could not serve both use cases.</w:t>
      </w:r>
    </w:p>
    <w:p>
      <w:r>
        <w:rPr>
          <w:sz w:val="22"/>
        </w:rPr>
        <w:t>The result was a targeting strategy that simultaneously over-served audiences too far to convert and under-served audiences within genuine drive range — compressing ROAS, inflating CPM, and limiting the efficiency of every dollar spent.</w:t>
      </w:r>
    </w:p>
    <w:p/>
    <w:p>
      <w:pPr>
        <w:pStyle w:val="Heading1"/>
      </w:pPr>
      <w:r>
        <w:rPr>
          <w:color w:val="003366"/>
          <w:sz w:val="28"/>
        </w:rPr>
        <w:t>The Solution: Drive-Time Tiered Zip Code Targeting</w:t>
      </w:r>
    </w:p>
    <w:p>
      <w:r>
        <w:rPr>
          <w:sz w:val="22"/>
        </w:rPr>
        <w:t>In February 2025, the targeting architecture was rebuilt from the ground up. Each store's audience was re-mapped using drive-time modeling — replacing the 10-mile radius with a curated set of zip codes organized into three distinct tiers, each reflecting a different consumer relationship with the brand.</w:t>
      </w:r>
    </w:p>
    <w:tbl>
      <w:tblPr>
        <w:tblStyle w:val="TableGrid"/>
        <w:tblW w:type="auto" w:w="0"/>
        <w:jc w:val="center"/>
        <w:tblLook w:firstColumn="1" w:firstRow="1" w:lastColumn="0" w:lastRow="0" w:noHBand="0" w:noVBand="1" w:val="04A0"/>
      </w:tblPr>
      <w:tblGrid>
        <w:gridCol w:w="2928"/>
        <w:gridCol w:w="2928"/>
        <w:gridCol w:w="2928"/>
      </w:tblGrid>
      <w:tr>
        <w:tc>
          <w:tcPr>
            <w:tcW w:type="dxa" w:w="1152"/>
            <w:shd w:val="clear" w:color="auto" w:fill="003366"/>
          </w:tcPr>
          <w:p>
            <w:pPr>
              <w:jc w:val="center"/>
            </w:pPr>
            <w:r>
              <w:rPr>
                <w:b/>
                <w:color w:val="FFFFFF"/>
                <w:sz w:val="20"/>
              </w:rPr>
              <w:t>Tier</w:t>
            </w:r>
          </w:p>
        </w:tc>
        <w:tc>
          <w:tcPr>
            <w:tcW w:type="dxa" w:w="1440"/>
            <w:shd w:val="clear" w:color="auto" w:fill="003366"/>
          </w:tcPr>
          <w:p>
            <w:pPr>
              <w:jc w:val="center"/>
            </w:pPr>
            <w:r>
              <w:rPr>
                <w:b/>
                <w:color w:val="FFFFFF"/>
                <w:sz w:val="20"/>
              </w:rPr>
              <w:t>Drive Time</w:t>
            </w:r>
          </w:p>
        </w:tc>
        <w:tc>
          <w:tcPr>
            <w:tcW w:type="dxa" w:w="6048"/>
            <w:shd w:val="clear" w:color="auto" w:fill="003366"/>
          </w:tcPr>
          <w:p>
            <w:pPr>
              <w:jc w:val="center"/>
            </w:pPr>
            <w:r>
              <w:rPr>
                <w:b/>
                <w:color w:val="FFFFFF"/>
                <w:sz w:val="20"/>
              </w:rPr>
              <w:t>Audience Profile &amp; Strategic Role</w:t>
            </w:r>
          </w:p>
        </w:tc>
      </w:tr>
      <w:tr>
        <w:tc>
          <w:tcPr>
            <w:tcW w:type="dxa" w:w="1152"/>
            <w:shd w:val="clear" w:color="auto" w:fill="DCE9F5"/>
          </w:tcPr>
          <w:p>
            <w:pPr>
              <w:jc w:val="center"/>
            </w:pPr>
            <w:r>
              <w:rPr>
                <w:b/>
                <w:color w:val="003366"/>
                <w:sz w:val="20"/>
              </w:rPr>
              <w:t>Tier 1</w:t>
            </w:r>
          </w:p>
        </w:tc>
        <w:tc>
          <w:tcPr>
            <w:tcW w:type="dxa" w:w="1440"/>
            <w:shd w:val="clear" w:color="auto" w:fill="DCE9F5"/>
          </w:tcPr>
          <w:p>
            <w:pPr>
              <w:jc w:val="center"/>
            </w:pPr>
            <w:r>
              <w:rPr>
                <w:sz w:val="20"/>
              </w:rPr>
              <w:t>~0–8 min</w:t>
            </w:r>
          </w:p>
        </w:tc>
        <w:tc>
          <w:tcPr>
            <w:tcW w:type="dxa" w:w="6048"/>
            <w:shd w:val="clear" w:color="auto" w:fill="DCE9F5"/>
          </w:tcPr>
          <w:p>
            <w:r>
              <w:rPr>
                <w:sz w:val="20"/>
              </w:rPr>
              <w:t>Core trade area. Highest visit frequency and strongest brand awareness. Highest ROAS expectation. Primary focus for conversion campaigns.</w:t>
            </w:r>
          </w:p>
        </w:tc>
      </w:tr>
      <w:tr>
        <w:tc>
          <w:tcPr>
            <w:tcW w:type="dxa" w:w="1152"/>
            <w:shd w:val="clear" w:color="auto" w:fill="EBF3FA"/>
          </w:tcPr>
          <w:p>
            <w:pPr>
              <w:jc w:val="center"/>
            </w:pPr>
            <w:r>
              <w:rPr>
                <w:b/>
                <w:color w:val="003366"/>
                <w:sz w:val="20"/>
              </w:rPr>
              <w:t>Tier 2</w:t>
            </w:r>
          </w:p>
        </w:tc>
        <w:tc>
          <w:tcPr>
            <w:tcW w:type="dxa" w:w="1440"/>
            <w:shd w:val="clear" w:color="auto" w:fill="EBF3FA"/>
          </w:tcPr>
          <w:p>
            <w:pPr>
              <w:jc w:val="center"/>
            </w:pPr>
            <w:r>
              <w:rPr>
                <w:sz w:val="20"/>
              </w:rPr>
              <w:t>~8–15 min</w:t>
            </w:r>
          </w:p>
        </w:tc>
        <w:tc>
          <w:tcPr>
            <w:tcW w:type="dxa" w:w="6048"/>
            <w:shd w:val="clear" w:color="auto" w:fill="EBF3FA"/>
          </w:tcPr>
          <w:p>
            <w:r>
              <w:rPr>
                <w:sz w:val="20"/>
              </w:rPr>
              <w:t>Secondary residential and office spillover. Strong lunch and planned dinner traffic. Efficient expansion zone for incremental conversions.</w:t>
            </w:r>
          </w:p>
        </w:tc>
      </w:tr>
      <w:tr>
        <w:tc>
          <w:tcPr>
            <w:tcW w:type="dxa" w:w="1152"/>
            <w:shd w:val="clear" w:color="auto" w:fill="DCE9F5"/>
          </w:tcPr>
          <w:p>
            <w:pPr>
              <w:jc w:val="center"/>
            </w:pPr>
            <w:r>
              <w:rPr>
                <w:b/>
                <w:color w:val="003366"/>
                <w:sz w:val="20"/>
              </w:rPr>
              <w:t>Tier 3</w:t>
            </w:r>
          </w:p>
        </w:tc>
        <w:tc>
          <w:tcPr>
            <w:tcW w:type="dxa" w:w="1440"/>
            <w:shd w:val="clear" w:color="auto" w:fill="DCE9F5"/>
          </w:tcPr>
          <w:p>
            <w:pPr>
              <w:jc w:val="center"/>
            </w:pPr>
            <w:r>
              <w:rPr>
                <w:sz w:val="20"/>
              </w:rPr>
              <w:t>~15–22 min</w:t>
            </w:r>
          </w:p>
        </w:tc>
        <w:tc>
          <w:tcPr>
            <w:tcW w:type="dxa" w:w="6048"/>
            <w:shd w:val="clear" w:color="auto" w:fill="DCE9F5"/>
          </w:tcPr>
          <w:p>
            <w:r>
              <w:rPr>
                <w:sz w:val="20"/>
              </w:rPr>
              <w:t>Destination, commuter, and retail corridor traffic. Lower visit frequency but strong catering potential and incremental reach.</w:t>
            </w:r>
          </w:p>
        </w:tc>
      </w:tr>
    </w:tbl>
    <w:p/>
    <w:p>
      <w:r>
        <w:rPr>
          <w:sz w:val="22"/>
        </w:rPr>
        <w:t>Drive-time modeling is inherently more accurate than pure distance targeting because traffic patterns differ by market, urban density compresses true drive ranges, and suburban markets expand further due to highway access. This approach ensures that every ad dollar is allocated to audiences within a realistic consideration window — the guests who are most likely to visit, order online, or book catering.</w:t>
      </w:r>
    </w:p>
    <w:p/>
    <w:p>
      <w:pPr>
        <w:pStyle w:val="Heading1"/>
      </w:pPr>
      <w:r>
        <w:rPr>
          <w:color w:val="003366"/>
          <w:sz w:val="28"/>
        </w:rPr>
        <w:t>Business &amp; Media Results</w:t>
      </w:r>
    </w:p>
    <w:p>
      <w:r>
        <w:rPr>
          <w:sz w:val="22"/>
        </w:rPr>
        <w:t>The transition to drive-time tiered zip code targeting produced transformative results across every key performance indicator. The following data compares the period before the change (Previous Period) to the period after implementation (Current Period), as reported in the Mendocino Farms Meta Ads dashboard.</w:t>
      </w:r>
    </w:p>
    <w:p/>
    <w:p>
      <w:pPr>
        <w:pStyle w:val="Heading2"/>
      </w:pPr>
      <w:r>
        <w:rPr>
          <w:color w:val="0066B3"/>
          <w:sz w:val="24"/>
        </w:rPr>
        <w:t>Key Performance Metrics: Before vs. After</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3456"/>
            <w:shd w:val="clear" w:color="auto" w:fill="003366"/>
          </w:tcPr>
          <w:p>
            <w:pPr>
              <w:jc w:val="center"/>
            </w:pPr>
            <w:r>
              <w:rPr>
                <w:b/>
                <w:color w:val="FFFFFF"/>
                <w:sz w:val="20"/>
              </w:rPr>
              <w:t>Metric</w:t>
            </w:r>
          </w:p>
        </w:tc>
        <w:tc>
          <w:tcPr>
            <w:tcW w:type="dxa" w:w="2016"/>
            <w:shd w:val="clear" w:color="auto" w:fill="003366"/>
          </w:tcPr>
          <w:p>
            <w:pPr>
              <w:jc w:val="center"/>
            </w:pPr>
            <w:r>
              <w:rPr>
                <w:b/>
                <w:color w:val="FFFFFF"/>
                <w:sz w:val="20"/>
              </w:rPr>
              <w:t>Previous Period</w:t>
              <w:br/>
              <w:t>(10-Mile Radius)</w:t>
            </w:r>
          </w:p>
        </w:tc>
        <w:tc>
          <w:tcPr>
            <w:tcW w:type="dxa" w:w="2016"/>
            <w:shd w:val="clear" w:color="auto" w:fill="003366"/>
          </w:tcPr>
          <w:p>
            <w:pPr>
              <w:jc w:val="center"/>
            </w:pPr>
            <w:r>
              <w:rPr>
                <w:b/>
                <w:color w:val="FFFFFF"/>
                <w:sz w:val="20"/>
              </w:rPr>
              <w:t>Current Period</w:t>
              <w:br/>
              <w:t>(Drive-Time Tiers)</w:t>
            </w:r>
          </w:p>
        </w:tc>
        <w:tc>
          <w:tcPr>
            <w:tcW w:type="dxa" w:w="1296"/>
            <w:shd w:val="clear" w:color="auto" w:fill="003366"/>
          </w:tcPr>
          <w:p>
            <w:pPr>
              <w:jc w:val="center"/>
            </w:pPr>
            <w:r>
              <w:rPr>
                <w:b/>
                <w:color w:val="FFFFFF"/>
                <w:sz w:val="20"/>
              </w:rPr>
              <w:t>% Change</w:t>
            </w:r>
          </w:p>
        </w:tc>
      </w:tr>
      <w:tr>
        <w:tc>
          <w:tcPr>
            <w:tcW w:type="dxa" w:w="3456"/>
            <w:shd w:val="clear" w:color="auto" w:fill="FFFFFF"/>
          </w:tcPr>
          <w:p>
            <w:r>
              <w:rPr>
                <w:b/>
                <w:sz w:val="20"/>
              </w:rPr>
              <w:t>Spend</w:t>
            </w:r>
          </w:p>
        </w:tc>
        <w:tc>
          <w:tcPr>
            <w:tcW w:type="dxa" w:w="2016"/>
            <w:shd w:val="clear" w:color="auto" w:fill="FFFFFF"/>
          </w:tcPr>
          <w:p>
            <w:pPr>
              <w:jc w:val="center"/>
            </w:pPr>
            <w:r>
              <w:rPr>
                <w:sz w:val="20"/>
              </w:rPr>
              <w:t>$84,441</w:t>
            </w:r>
          </w:p>
        </w:tc>
        <w:tc>
          <w:tcPr>
            <w:tcW w:type="dxa" w:w="2016"/>
            <w:shd w:val="clear" w:color="auto" w:fill="FFFFFF"/>
          </w:tcPr>
          <w:p>
            <w:pPr>
              <w:jc w:val="center"/>
            </w:pPr>
            <w:r>
              <w:rPr>
                <w:sz w:val="20"/>
              </w:rPr>
              <w:t>$149,502</w:t>
            </w:r>
          </w:p>
        </w:tc>
        <w:tc>
          <w:tcPr>
            <w:tcW w:type="dxa" w:w="1296"/>
            <w:shd w:val="clear" w:color="auto" w:fill="FFFFFF"/>
          </w:tcPr>
          <w:p>
            <w:pPr>
              <w:jc w:val="center"/>
            </w:pPr>
            <w:r>
              <w:rPr>
                <w:b/>
                <w:sz w:val="20"/>
              </w:rPr>
              <w:t>+77%</w:t>
            </w:r>
          </w:p>
        </w:tc>
      </w:tr>
      <w:tr>
        <w:tc>
          <w:tcPr>
            <w:tcW w:type="dxa" w:w="3456"/>
            <w:shd w:val="clear" w:color="auto" w:fill="F0F6FC"/>
          </w:tcPr>
          <w:p>
            <w:r>
              <w:rPr>
                <w:b/>
                <w:sz w:val="20"/>
              </w:rPr>
              <w:t>CPM (cost per 1,000 impressions)</w:t>
            </w:r>
          </w:p>
        </w:tc>
        <w:tc>
          <w:tcPr>
            <w:tcW w:type="dxa" w:w="2016"/>
            <w:shd w:val="clear" w:color="auto" w:fill="F0F6FC"/>
          </w:tcPr>
          <w:p>
            <w:pPr>
              <w:jc w:val="center"/>
            </w:pPr>
            <w:r>
              <w:rPr>
                <w:sz w:val="20"/>
              </w:rPr>
              <w:t>$8.60</w:t>
            </w:r>
          </w:p>
        </w:tc>
        <w:tc>
          <w:tcPr>
            <w:tcW w:type="dxa" w:w="2016"/>
            <w:shd w:val="clear" w:color="auto" w:fill="F0F6FC"/>
          </w:tcPr>
          <w:p>
            <w:pPr>
              <w:jc w:val="center"/>
            </w:pPr>
            <w:r>
              <w:rPr>
                <w:sz w:val="20"/>
              </w:rPr>
              <w:t>$9.66</w:t>
            </w:r>
          </w:p>
        </w:tc>
        <w:tc>
          <w:tcPr>
            <w:tcW w:type="dxa" w:w="1296"/>
            <w:shd w:val="clear" w:color="auto" w:fill="F0F6FC"/>
          </w:tcPr>
          <w:p>
            <w:pPr>
              <w:jc w:val="center"/>
            </w:pPr>
            <w:r>
              <w:rPr>
                <w:b/>
                <w:color w:val="B40000"/>
                <w:sz w:val="20"/>
              </w:rPr>
              <w:t>+12%</w:t>
            </w:r>
          </w:p>
        </w:tc>
      </w:tr>
      <w:tr>
        <w:tc>
          <w:tcPr>
            <w:tcW w:type="dxa" w:w="3456"/>
            <w:shd w:val="clear" w:color="auto" w:fill="FFFFFF"/>
          </w:tcPr>
          <w:p>
            <w:r>
              <w:rPr>
                <w:b/>
                <w:sz w:val="20"/>
              </w:rPr>
              <w:t>CPC (cost per click, all)</w:t>
            </w:r>
          </w:p>
        </w:tc>
        <w:tc>
          <w:tcPr>
            <w:tcW w:type="dxa" w:w="2016"/>
            <w:shd w:val="clear" w:color="auto" w:fill="FFFFFF"/>
          </w:tcPr>
          <w:p>
            <w:pPr>
              <w:jc w:val="center"/>
            </w:pPr>
            <w:r>
              <w:rPr>
                <w:sz w:val="20"/>
              </w:rPr>
              <w:t>$1.57</w:t>
            </w:r>
          </w:p>
        </w:tc>
        <w:tc>
          <w:tcPr>
            <w:tcW w:type="dxa" w:w="2016"/>
            <w:shd w:val="clear" w:color="auto" w:fill="FFFFFF"/>
          </w:tcPr>
          <w:p>
            <w:pPr>
              <w:jc w:val="center"/>
            </w:pPr>
            <w:r>
              <w:rPr>
                <w:sz w:val="20"/>
              </w:rPr>
              <w:t>$1.39</w:t>
            </w:r>
          </w:p>
        </w:tc>
        <w:tc>
          <w:tcPr>
            <w:tcW w:type="dxa" w:w="1296"/>
            <w:shd w:val="clear" w:color="auto" w:fill="FFFFFF"/>
          </w:tcPr>
          <w:p>
            <w:pPr>
              <w:jc w:val="center"/>
            </w:pPr>
            <w:r>
              <w:rPr>
                <w:b/>
                <w:color w:val="4C9900"/>
                <w:sz w:val="20"/>
              </w:rPr>
              <w:t>-11%</w:t>
            </w:r>
          </w:p>
        </w:tc>
      </w:tr>
      <w:tr>
        <w:tc>
          <w:tcPr>
            <w:tcW w:type="dxa" w:w="3456"/>
            <w:shd w:val="clear" w:color="auto" w:fill="F0F6FC"/>
          </w:tcPr>
          <w:p>
            <w:r>
              <w:rPr>
                <w:b/>
                <w:sz w:val="20"/>
              </w:rPr>
              <w:t>CTR (click-through rate)</w:t>
            </w:r>
          </w:p>
        </w:tc>
        <w:tc>
          <w:tcPr>
            <w:tcW w:type="dxa" w:w="2016"/>
            <w:shd w:val="clear" w:color="auto" w:fill="F0F6FC"/>
          </w:tcPr>
          <w:p>
            <w:pPr>
              <w:jc w:val="center"/>
            </w:pPr>
            <w:r>
              <w:rPr>
                <w:sz w:val="20"/>
              </w:rPr>
              <w:t>0.55%</w:t>
            </w:r>
          </w:p>
        </w:tc>
        <w:tc>
          <w:tcPr>
            <w:tcW w:type="dxa" w:w="2016"/>
            <w:shd w:val="clear" w:color="auto" w:fill="F0F6FC"/>
          </w:tcPr>
          <w:p>
            <w:pPr>
              <w:jc w:val="center"/>
            </w:pPr>
            <w:r>
              <w:rPr>
                <w:sz w:val="20"/>
              </w:rPr>
              <w:t>0.70%</w:t>
            </w:r>
          </w:p>
        </w:tc>
        <w:tc>
          <w:tcPr>
            <w:tcW w:type="dxa" w:w="1296"/>
            <w:shd w:val="clear" w:color="auto" w:fill="F0F6FC"/>
          </w:tcPr>
          <w:p>
            <w:pPr>
              <w:jc w:val="center"/>
            </w:pPr>
            <w:r>
              <w:rPr>
                <w:b/>
                <w:color w:val="4C9900"/>
                <w:sz w:val="20"/>
              </w:rPr>
              <w:t>+27%</w:t>
            </w:r>
          </w:p>
        </w:tc>
      </w:tr>
      <w:tr>
        <w:tc>
          <w:tcPr>
            <w:tcW w:type="dxa" w:w="3456"/>
            <w:shd w:val="clear" w:color="auto" w:fill="FFFFFF"/>
          </w:tcPr>
          <w:p>
            <w:r>
              <w:rPr>
                <w:b/>
                <w:sz w:val="20"/>
              </w:rPr>
              <w:t>Total Purchases</w:t>
            </w:r>
          </w:p>
        </w:tc>
        <w:tc>
          <w:tcPr>
            <w:tcW w:type="dxa" w:w="2016"/>
            <w:shd w:val="clear" w:color="auto" w:fill="FFFFFF"/>
          </w:tcPr>
          <w:p>
            <w:pPr>
              <w:jc w:val="center"/>
            </w:pPr>
            <w:r>
              <w:rPr>
                <w:sz w:val="20"/>
              </w:rPr>
              <w:t>887</w:t>
            </w:r>
          </w:p>
        </w:tc>
        <w:tc>
          <w:tcPr>
            <w:tcW w:type="dxa" w:w="2016"/>
            <w:shd w:val="clear" w:color="auto" w:fill="FFFFFF"/>
          </w:tcPr>
          <w:p>
            <w:pPr>
              <w:jc w:val="center"/>
            </w:pPr>
            <w:r>
              <w:rPr>
                <w:sz w:val="20"/>
              </w:rPr>
              <w:t>2,426</w:t>
            </w:r>
          </w:p>
        </w:tc>
        <w:tc>
          <w:tcPr>
            <w:tcW w:type="dxa" w:w="1296"/>
            <w:shd w:val="clear" w:color="auto" w:fill="FFFFFF"/>
          </w:tcPr>
          <w:p>
            <w:pPr>
              <w:jc w:val="center"/>
            </w:pPr>
            <w:r>
              <w:rPr>
                <w:b/>
                <w:color w:val="4C9900"/>
                <w:sz w:val="20"/>
              </w:rPr>
              <w:t>+174%</w:t>
            </w:r>
          </w:p>
        </w:tc>
      </w:tr>
      <w:tr>
        <w:tc>
          <w:tcPr>
            <w:tcW w:type="dxa" w:w="3456"/>
            <w:shd w:val="clear" w:color="auto" w:fill="F0F6FC"/>
          </w:tcPr>
          <w:p>
            <w:r>
              <w:rPr>
                <w:b/>
                <w:sz w:val="20"/>
              </w:rPr>
              <w:t>Total Revenue</w:t>
            </w:r>
          </w:p>
        </w:tc>
        <w:tc>
          <w:tcPr>
            <w:tcW w:type="dxa" w:w="2016"/>
            <w:shd w:val="clear" w:color="auto" w:fill="F0F6FC"/>
          </w:tcPr>
          <w:p>
            <w:pPr>
              <w:jc w:val="center"/>
            </w:pPr>
            <w:r>
              <w:rPr>
                <w:sz w:val="20"/>
              </w:rPr>
              <w:t>$46,767</w:t>
            </w:r>
          </w:p>
        </w:tc>
        <w:tc>
          <w:tcPr>
            <w:tcW w:type="dxa" w:w="2016"/>
            <w:shd w:val="clear" w:color="auto" w:fill="F0F6FC"/>
          </w:tcPr>
          <w:p>
            <w:pPr>
              <w:jc w:val="center"/>
            </w:pPr>
            <w:r>
              <w:rPr>
                <w:sz w:val="20"/>
              </w:rPr>
              <w:t>$137,636</w:t>
            </w:r>
          </w:p>
        </w:tc>
        <w:tc>
          <w:tcPr>
            <w:tcW w:type="dxa" w:w="1296"/>
            <w:shd w:val="clear" w:color="auto" w:fill="F0F6FC"/>
          </w:tcPr>
          <w:p>
            <w:pPr>
              <w:jc w:val="center"/>
            </w:pPr>
            <w:r>
              <w:rPr>
                <w:b/>
                <w:color w:val="4C9900"/>
                <w:sz w:val="20"/>
              </w:rPr>
              <w:t>+194%</w:t>
            </w:r>
          </w:p>
        </w:tc>
      </w:tr>
      <w:tr>
        <w:tc>
          <w:tcPr>
            <w:tcW w:type="dxa" w:w="3456"/>
            <w:shd w:val="clear" w:color="auto" w:fill="FFFFFF"/>
          </w:tcPr>
          <w:p>
            <w:r>
              <w:rPr>
                <w:b/>
                <w:sz w:val="20"/>
              </w:rPr>
              <w:t>Total ROAS</w:t>
            </w:r>
          </w:p>
        </w:tc>
        <w:tc>
          <w:tcPr>
            <w:tcW w:type="dxa" w:w="2016"/>
            <w:shd w:val="clear" w:color="auto" w:fill="FFFFFF"/>
          </w:tcPr>
          <w:p>
            <w:pPr>
              <w:jc w:val="center"/>
            </w:pPr>
            <w:r>
              <w:rPr>
                <w:sz w:val="20"/>
              </w:rPr>
              <w:t>$0.55</w:t>
            </w:r>
          </w:p>
        </w:tc>
        <w:tc>
          <w:tcPr>
            <w:tcW w:type="dxa" w:w="2016"/>
            <w:shd w:val="clear" w:color="auto" w:fill="FFFFFF"/>
          </w:tcPr>
          <w:p>
            <w:pPr>
              <w:jc w:val="center"/>
            </w:pPr>
            <w:r>
              <w:rPr>
                <w:sz w:val="20"/>
              </w:rPr>
              <w:t>$0.92</w:t>
            </w:r>
          </w:p>
        </w:tc>
        <w:tc>
          <w:tcPr>
            <w:tcW w:type="dxa" w:w="1296"/>
            <w:shd w:val="clear" w:color="auto" w:fill="FFFFFF"/>
          </w:tcPr>
          <w:p>
            <w:pPr>
              <w:jc w:val="center"/>
            </w:pPr>
            <w:r>
              <w:rPr>
                <w:b/>
                <w:color w:val="4C9900"/>
                <w:sz w:val="20"/>
              </w:rPr>
              <w:t>+66%</w:t>
            </w:r>
          </w:p>
        </w:tc>
      </w:tr>
      <w:tr>
        <w:tc>
          <w:tcPr>
            <w:tcW w:type="dxa" w:w="3456"/>
            <w:shd w:val="clear" w:color="auto" w:fill="F0F6FC"/>
          </w:tcPr>
          <w:p>
            <w:r>
              <w:rPr>
                <w:b/>
                <w:sz w:val="20"/>
              </w:rPr>
              <w:t>Total CPA</w:t>
            </w:r>
          </w:p>
        </w:tc>
        <w:tc>
          <w:tcPr>
            <w:tcW w:type="dxa" w:w="2016"/>
            <w:shd w:val="clear" w:color="auto" w:fill="F0F6FC"/>
          </w:tcPr>
          <w:p>
            <w:pPr>
              <w:jc w:val="center"/>
            </w:pPr>
            <w:r>
              <w:rPr>
                <w:sz w:val="20"/>
              </w:rPr>
              <w:t>$95.20</w:t>
            </w:r>
          </w:p>
        </w:tc>
        <w:tc>
          <w:tcPr>
            <w:tcW w:type="dxa" w:w="2016"/>
            <w:shd w:val="clear" w:color="auto" w:fill="F0F6FC"/>
          </w:tcPr>
          <w:p>
            <w:pPr>
              <w:jc w:val="center"/>
            </w:pPr>
            <w:r>
              <w:rPr>
                <w:sz w:val="20"/>
              </w:rPr>
              <w:t>$61.62</w:t>
            </w:r>
          </w:p>
        </w:tc>
        <w:tc>
          <w:tcPr>
            <w:tcW w:type="dxa" w:w="1296"/>
            <w:shd w:val="clear" w:color="auto" w:fill="F0F6FC"/>
          </w:tcPr>
          <w:p>
            <w:pPr>
              <w:jc w:val="center"/>
            </w:pPr>
            <w:r>
              <w:rPr>
                <w:b/>
                <w:color w:val="4C9900"/>
                <w:sz w:val="20"/>
              </w:rPr>
              <w:t>-35%</w:t>
            </w:r>
          </w:p>
        </w:tc>
      </w:tr>
      <w:tr>
        <w:tc>
          <w:tcPr>
            <w:tcW w:type="dxa" w:w="3456"/>
            <w:shd w:val="clear" w:color="auto" w:fill="FFFFFF"/>
          </w:tcPr>
          <w:p>
            <w:r>
              <w:rPr>
                <w:b/>
                <w:sz w:val="20"/>
              </w:rPr>
              <w:t>Online Purchases</w:t>
            </w:r>
          </w:p>
        </w:tc>
        <w:tc>
          <w:tcPr>
            <w:tcW w:type="dxa" w:w="2016"/>
            <w:shd w:val="clear" w:color="auto" w:fill="FFFFFF"/>
          </w:tcPr>
          <w:p>
            <w:pPr>
              <w:jc w:val="center"/>
            </w:pPr>
            <w:r>
              <w:rPr>
                <w:sz w:val="20"/>
              </w:rPr>
              <w:t>844</w:t>
            </w:r>
          </w:p>
        </w:tc>
        <w:tc>
          <w:tcPr>
            <w:tcW w:type="dxa" w:w="2016"/>
            <w:shd w:val="clear" w:color="auto" w:fill="FFFFFF"/>
          </w:tcPr>
          <w:p>
            <w:pPr>
              <w:jc w:val="center"/>
            </w:pPr>
            <w:r>
              <w:rPr>
                <w:sz w:val="20"/>
              </w:rPr>
              <w:t>2,314</w:t>
            </w:r>
          </w:p>
        </w:tc>
        <w:tc>
          <w:tcPr>
            <w:tcW w:type="dxa" w:w="1296"/>
            <w:shd w:val="clear" w:color="auto" w:fill="FFFFFF"/>
          </w:tcPr>
          <w:p>
            <w:pPr>
              <w:jc w:val="center"/>
            </w:pPr>
            <w:r>
              <w:rPr>
                <w:b/>
                <w:color w:val="4C9900"/>
                <w:sz w:val="20"/>
              </w:rPr>
              <w:t>+174%</w:t>
            </w:r>
          </w:p>
        </w:tc>
      </w:tr>
      <w:tr>
        <w:tc>
          <w:tcPr>
            <w:tcW w:type="dxa" w:w="3456"/>
            <w:shd w:val="clear" w:color="auto" w:fill="F0F6FC"/>
          </w:tcPr>
          <w:p>
            <w:r>
              <w:rPr>
                <w:b/>
                <w:sz w:val="20"/>
              </w:rPr>
              <w:t>Online Revenue</w:t>
            </w:r>
          </w:p>
        </w:tc>
        <w:tc>
          <w:tcPr>
            <w:tcW w:type="dxa" w:w="2016"/>
            <w:shd w:val="clear" w:color="auto" w:fill="F0F6FC"/>
          </w:tcPr>
          <w:p>
            <w:pPr>
              <w:jc w:val="center"/>
            </w:pPr>
            <w:r>
              <w:rPr>
                <w:sz w:val="20"/>
              </w:rPr>
              <w:t>$26,860</w:t>
            </w:r>
          </w:p>
        </w:tc>
        <w:tc>
          <w:tcPr>
            <w:tcW w:type="dxa" w:w="2016"/>
            <w:shd w:val="clear" w:color="auto" w:fill="F0F6FC"/>
          </w:tcPr>
          <w:p>
            <w:pPr>
              <w:jc w:val="center"/>
            </w:pPr>
            <w:r>
              <w:rPr>
                <w:sz w:val="20"/>
              </w:rPr>
              <w:t>$75,200</w:t>
            </w:r>
          </w:p>
        </w:tc>
        <w:tc>
          <w:tcPr>
            <w:tcW w:type="dxa" w:w="1296"/>
            <w:shd w:val="clear" w:color="auto" w:fill="F0F6FC"/>
          </w:tcPr>
          <w:p>
            <w:pPr>
              <w:jc w:val="center"/>
            </w:pPr>
            <w:r>
              <w:rPr>
                <w:b/>
                <w:color w:val="4C9900"/>
                <w:sz w:val="20"/>
              </w:rPr>
              <w:t>+180%</w:t>
            </w:r>
          </w:p>
        </w:tc>
      </w:tr>
      <w:tr>
        <w:tc>
          <w:tcPr>
            <w:tcW w:type="dxa" w:w="3456"/>
            <w:shd w:val="clear" w:color="auto" w:fill="FFFFFF"/>
          </w:tcPr>
          <w:p>
            <w:r>
              <w:rPr>
                <w:b/>
                <w:sz w:val="20"/>
              </w:rPr>
              <w:t>Catering Purchases</w:t>
            </w:r>
          </w:p>
        </w:tc>
        <w:tc>
          <w:tcPr>
            <w:tcW w:type="dxa" w:w="2016"/>
            <w:shd w:val="clear" w:color="auto" w:fill="FFFFFF"/>
          </w:tcPr>
          <w:p>
            <w:pPr>
              <w:jc w:val="center"/>
            </w:pPr>
            <w:r>
              <w:rPr>
                <w:sz w:val="20"/>
              </w:rPr>
              <w:t>43</w:t>
            </w:r>
          </w:p>
        </w:tc>
        <w:tc>
          <w:tcPr>
            <w:tcW w:type="dxa" w:w="2016"/>
            <w:shd w:val="clear" w:color="auto" w:fill="FFFFFF"/>
          </w:tcPr>
          <w:p>
            <w:pPr>
              <w:jc w:val="center"/>
            </w:pPr>
            <w:r>
              <w:rPr>
                <w:sz w:val="20"/>
              </w:rPr>
              <w:t>112</w:t>
            </w:r>
          </w:p>
        </w:tc>
        <w:tc>
          <w:tcPr>
            <w:tcW w:type="dxa" w:w="1296"/>
            <w:shd w:val="clear" w:color="auto" w:fill="FFFFFF"/>
          </w:tcPr>
          <w:p>
            <w:pPr>
              <w:jc w:val="center"/>
            </w:pPr>
            <w:r>
              <w:rPr>
                <w:b/>
                <w:color w:val="4C9900"/>
                <w:sz w:val="20"/>
              </w:rPr>
              <w:t>+160%</w:t>
            </w:r>
          </w:p>
        </w:tc>
      </w:tr>
      <w:tr>
        <w:tc>
          <w:tcPr>
            <w:tcW w:type="dxa" w:w="3456"/>
            <w:shd w:val="clear" w:color="auto" w:fill="F0F6FC"/>
          </w:tcPr>
          <w:p>
            <w:r>
              <w:rPr>
                <w:b/>
                <w:sz w:val="20"/>
              </w:rPr>
              <w:t>Catering Revenue</w:t>
            </w:r>
          </w:p>
        </w:tc>
        <w:tc>
          <w:tcPr>
            <w:tcW w:type="dxa" w:w="2016"/>
            <w:shd w:val="clear" w:color="auto" w:fill="F0F6FC"/>
          </w:tcPr>
          <w:p>
            <w:pPr>
              <w:jc w:val="center"/>
            </w:pPr>
            <w:r>
              <w:rPr>
                <w:sz w:val="20"/>
              </w:rPr>
              <w:t>$19,906</w:t>
            </w:r>
          </w:p>
        </w:tc>
        <w:tc>
          <w:tcPr>
            <w:tcW w:type="dxa" w:w="2016"/>
            <w:shd w:val="clear" w:color="auto" w:fill="F0F6FC"/>
          </w:tcPr>
          <w:p>
            <w:pPr>
              <w:jc w:val="center"/>
            </w:pPr>
            <w:r>
              <w:rPr>
                <w:sz w:val="20"/>
              </w:rPr>
              <w:t>$62,436</w:t>
            </w:r>
          </w:p>
        </w:tc>
        <w:tc>
          <w:tcPr>
            <w:tcW w:type="dxa" w:w="1296"/>
            <w:shd w:val="clear" w:color="auto" w:fill="F0F6FC"/>
          </w:tcPr>
          <w:p>
            <w:pPr>
              <w:jc w:val="center"/>
            </w:pPr>
            <w:r>
              <w:rPr>
                <w:b/>
                <w:color w:val="4C9900"/>
                <w:sz w:val="20"/>
              </w:rPr>
              <w:t>+214%</w:t>
            </w:r>
          </w:p>
        </w:tc>
      </w:tr>
    </w:tbl>
    <w:p/>
    <w:p>
      <w:pPr>
        <w:pStyle w:val="Heading2"/>
      </w:pPr>
      <w:r>
        <w:rPr>
          <w:color w:val="0066B3"/>
          <w:sz w:val="24"/>
        </w:rPr>
        <w:t>NSO Performance: MyMendo Sign-Ups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3456"/>
            <w:shd w:val="clear" w:color="auto" w:fill="003366"/>
          </w:tcPr>
          <w:p>
            <w:pPr>
              <w:jc w:val="center"/>
            </w:pPr>
            <w:r>
              <w:rPr>
                <w:b/>
                <w:color w:val="FFFFFF"/>
                <w:sz w:val="20"/>
              </w:rPr>
              <w:t>Metric</w:t>
            </w:r>
          </w:p>
        </w:tc>
        <w:tc>
          <w:tcPr>
            <w:tcW w:type="dxa" w:w="2016"/>
            <w:shd w:val="clear" w:color="auto" w:fill="003366"/>
          </w:tcPr>
          <w:p>
            <w:pPr>
              <w:jc w:val="center"/>
            </w:pPr>
            <w:r>
              <w:rPr>
                <w:b/>
                <w:color w:val="FFFFFF"/>
                <w:sz w:val="20"/>
              </w:rPr>
              <w:t>Previous Period</w:t>
            </w:r>
          </w:p>
        </w:tc>
        <w:tc>
          <w:tcPr>
            <w:tcW w:type="dxa" w:w="2016"/>
            <w:shd w:val="clear" w:color="auto" w:fill="003366"/>
          </w:tcPr>
          <w:p>
            <w:pPr>
              <w:jc w:val="center"/>
            </w:pPr>
            <w:r>
              <w:rPr>
                <w:b/>
                <w:color w:val="FFFFFF"/>
                <w:sz w:val="20"/>
              </w:rPr>
              <w:t>Current Period</w:t>
            </w:r>
          </w:p>
        </w:tc>
        <w:tc>
          <w:tcPr>
            <w:tcW w:type="dxa" w:w="1296"/>
            <w:shd w:val="clear" w:color="auto" w:fill="003366"/>
          </w:tcPr>
          <w:p>
            <w:pPr>
              <w:jc w:val="center"/>
            </w:pPr>
            <w:r>
              <w:rPr>
                <w:b/>
                <w:color w:val="FFFFFF"/>
                <w:sz w:val="20"/>
              </w:rPr>
              <w:t>% Change</w:t>
            </w:r>
          </w:p>
        </w:tc>
      </w:tr>
      <w:tr>
        <w:tc>
          <w:tcPr>
            <w:tcW w:type="dxa" w:w="3456"/>
            <w:shd w:val="clear" w:color="auto" w:fill="F0F6FC"/>
          </w:tcPr>
          <w:p>
            <w:r>
              <w:rPr>
                <w:b/>
                <w:sz w:val="20"/>
              </w:rPr>
              <w:t>MyMendo Sign-Ups</w:t>
            </w:r>
          </w:p>
        </w:tc>
        <w:tc>
          <w:tcPr>
            <w:tcW w:type="dxa" w:w="2016"/>
            <w:shd w:val="clear" w:color="auto" w:fill="F0F6FC"/>
          </w:tcPr>
          <w:p>
            <w:pPr>
              <w:jc w:val="center"/>
            </w:pPr>
            <w:r>
              <w:rPr>
                <w:sz w:val="20"/>
              </w:rPr>
              <w:t>7,069</w:t>
            </w:r>
          </w:p>
        </w:tc>
        <w:tc>
          <w:tcPr>
            <w:tcW w:type="dxa" w:w="2016"/>
            <w:shd w:val="clear" w:color="auto" w:fill="F0F6FC"/>
          </w:tcPr>
          <w:p>
            <w:pPr>
              <w:jc w:val="center"/>
            </w:pPr>
            <w:r>
              <w:rPr>
                <w:sz w:val="20"/>
              </w:rPr>
              <w:t>12,756</w:t>
            </w:r>
          </w:p>
        </w:tc>
        <w:tc>
          <w:tcPr>
            <w:tcW w:type="dxa" w:w="1296"/>
            <w:shd w:val="clear" w:color="auto" w:fill="F0F6FC"/>
          </w:tcPr>
          <w:p>
            <w:pPr>
              <w:jc w:val="center"/>
            </w:pPr>
            <w:r>
              <w:rPr>
                <w:b/>
                <w:color w:val="4C9900"/>
                <w:sz w:val="20"/>
              </w:rPr>
              <w:t>+80%</w:t>
            </w:r>
          </w:p>
        </w:tc>
      </w:tr>
    </w:tbl>
    <w:p/>
    <w:p>
      <w:pPr>
        <w:pStyle w:val="Heading1"/>
      </w:pPr>
      <w:r>
        <w:rPr>
          <w:color w:val="003366"/>
          <w:sz w:val="28"/>
        </w:rPr>
        <w:t>What the Results Tell Us</w:t>
      </w:r>
    </w:p>
    <w:p>
      <w:r>
        <w:rPr>
          <w:sz w:val="22"/>
        </w:rPr>
        <w:t>The 194% increase in Total Revenue and 174% increase in Total Purchases are not simply the result of increased spend — Spend grew by 77%, meaning the revenue growth rate outpaced the investment by more than 2.5x. This is reflected in the 66% improvement in Total ROAS and the 35% reduction in Total CPA, confirming that the drive-time targeting model is delivering more qualified audiences at a lower cost per outcome.</w:t>
      </w:r>
    </w:p>
    <w:p>
      <w:r>
        <w:rPr>
          <w:sz w:val="22"/>
        </w:rPr>
        <w:t>The catering channel saw the most dramatic improvement, with Catering Revenue up 214% and Catering Purchases up 160%. This validates the hypothesis that Tier 3 (the 15–22 minute drive-time zone) holds significant catering potential — audiences further from the store are more likely to plan ahead and place larger catering orders rather than impulse visits.</w:t>
      </w:r>
    </w:p>
    <w:p>
      <w:r>
        <w:rPr>
          <w:sz w:val="22"/>
        </w:rPr>
        <w:t>For NSO campaigns, the 80% increase in MyMendo sign-ups demonstrates that reaching audiences within realistic drive distance of new store locations — rather than a broad, undifferentiated radius — produces a meaningfully higher rate of loyalty program enrollment. These sign-ups represent long-term customer lifetime value beyond the initial campaign window.</w:t>
      </w:r>
    </w:p>
    <w:p>
      <w:r>
        <w:rPr>
          <w:sz w:val="22"/>
        </w:rPr>
        <w:t>The 27% improvement in CTR and 11% reduction in CPC (all) further confirm that the new targeting model is surfacing ads to audiences with a genuine intent to engage — a direct consequence of aligning ad delivery with actual consumer drive behavior rather than an arbitrary geographic radius.</w:t>
      </w:r>
    </w:p>
    <w:p/>
    <w:p>
      <w:pPr>
        <w:pStyle w:val="Heading1"/>
      </w:pPr>
      <w:r>
        <w:rPr>
          <w:color w:val="003366"/>
          <w:sz w:val="28"/>
        </w:rPr>
        <w:t>Conclusion</w:t>
      </w:r>
    </w:p>
    <w:p>
      <w:r>
        <w:rPr>
          <w:sz w:val="22"/>
        </w:rPr>
        <w:t>The shift from a static 10-mile radius to a dynamic, drive-time tiered zip code targeting model represents a fundamental upgrade in how Mendocino Farms connects with its guests through paid social. By aligning media delivery with the reality of how consumers actually travel to restaurants — accounting for traffic patterns, urban density, and behavioral differences between lunch and dinner occasions — the campaign architecture now reflects the true competitive landscape of each store's trade area.</w:t>
      </w:r>
    </w:p>
    <w:p>
      <w:r>
        <w:rPr>
          <w:sz w:val="22"/>
        </w:rPr>
        <w:t>The results speak clearly: more revenue, more purchases, lower cost per acquisition, and stronger loyalty program growth — all achieved with a proportionally smaller increase in spend. This case study demonstrates that precision in audience definition is not just a media efficiency play; it is a direct driver of business outcomes.</w:t>
      </w:r>
    </w:p>
    <w:p/>
    <w:p>
      <w:r>
        <w:rPr>
          <w:i/>
          <w:color w:val="787878"/>
          <w:sz w:val="18"/>
        </w:rPr>
        <w:t>Data sourced from Mendocino Farms Meta Ads Manager (Account ID: 568565174004442). Current Period reflects performance post-February 2025 targeting implementation. Previous Period reflects pre-February 2025 baseline under 10-mile radius targeting.</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