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MENDOCINO FARMS: DRIVE-TIME TARGETING UPGRADE</w:t>
      </w:r>
    </w:p>
    <w:p>
      <w:pPr>
        <w:jc w:val="center"/>
      </w:pPr>
      <w:r>
        <w:rPr>
          <w:b/>
          <w:color w:val="0066B3"/>
          <w:sz w:val="24"/>
        </w:rPr>
        <w:t>Meta Advertising Case Study (One-Page Summary)</w:t>
      </w:r>
    </w:p>
    <w:p/>
    <w:p>
      <w:pPr>
        <w:pStyle w:val="Heading2"/>
      </w:pPr>
      <w:r>
        <w:rPr>
          <w:color w:val="003366"/>
          <w:sz w:val="24"/>
        </w:rPr>
        <w:t>The Challenge</w:t>
      </w:r>
    </w:p>
    <w:p>
      <w:r>
        <w:rPr>
          <w:sz w:val="20"/>
        </w:rPr>
        <w:t>Mendocino Farms previously relied on a rigid 10-mile radius targeting model for both Evergreen store campaigns (catering &amp; online orders) and New Store Openings (MyMendo sign-ups). This pure distance-based approach ignored actual traffic patterns, urban density, and the differences between lunch and dinner travel behavior, resulting in wasted spend on audiences outside realistic drive times.</w:t>
      </w:r>
    </w:p>
    <w:p>
      <w:pPr>
        <w:pStyle w:val="Heading2"/>
      </w:pPr>
      <w:r>
        <w:rPr>
          <w:color w:val="003366"/>
          <w:sz w:val="24"/>
        </w:rPr>
        <w:t>The Solution: Tiered Drive-Time Targeting</w:t>
      </w:r>
    </w:p>
    <w:p>
      <w:r>
        <w:rPr>
          <w:sz w:val="20"/>
        </w:rPr>
        <w:t>In February 2025, the strategy was upgraded to a custom zip code model based on drive-time accessibility. Audiences were segmented into three strategic tiers:</w:t>
      </w:r>
    </w:p>
    <w:p>
      <w:r>
        <w:rPr>
          <w:b/>
          <w:sz w:val="20"/>
        </w:rPr>
        <w:t xml:space="preserve">• Tier 1 (~0–8 min): </w:t>
      </w:r>
      <w:r>
        <w:rPr>
          <w:sz w:val="20"/>
        </w:rPr>
        <w:t>Core trade area for highest frequency and ROAS.</w:t>
        <w:br/>
      </w:r>
      <w:r>
        <w:rPr>
          <w:b/>
          <w:sz w:val="20"/>
        </w:rPr>
        <w:t xml:space="preserve">• Tier 2 (~8–15 min): </w:t>
      </w:r>
      <w:r>
        <w:rPr>
          <w:sz w:val="20"/>
        </w:rPr>
        <w:t>Secondary spillover capturing lunch &amp; planned dinner traffic.</w:t>
        <w:br/>
      </w:r>
      <w:r>
        <w:rPr>
          <w:b/>
          <w:sz w:val="20"/>
        </w:rPr>
        <w:t xml:space="preserve">• Tier 3 (~15–22 min): </w:t>
      </w:r>
      <w:r>
        <w:rPr>
          <w:sz w:val="20"/>
        </w:rPr>
        <w:t>Commuter &amp; retail corridors driving strong catering potential.</w:t>
      </w:r>
    </w:p>
    <w:p/>
    <w:p>
      <w:pPr>
        <w:pStyle w:val="Heading2"/>
      </w:pPr>
      <w:r>
        <w:rPr>
          <w:color w:val="003366"/>
          <w:sz w:val="24"/>
        </w:rPr>
        <w:t>Business &amp; Media Results (Pre- vs. Post-Upgrade)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340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Previous (10-Mile)</w:t>
            </w:r>
          </w:p>
        </w:tc>
        <w:tc>
          <w:tcPr>
            <w:tcW w:type="dxa" w:w="2340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Current (Drive-Time)</w:t>
            </w:r>
          </w:p>
        </w:tc>
        <w:tc>
          <w:tcPr>
            <w:tcW w:type="dxa" w:w="2340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% Change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Total Revenue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$46,767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$137,636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</w:pPr>
            <w:r>
              <w:rPr>
                <w:b/>
                <w:color w:val="4C9900"/>
                <w:sz w:val="18"/>
              </w:rPr>
              <w:t>+194%</w:t>
            </w:r>
          </w:p>
        </w:tc>
      </w:tr>
      <w:tr>
        <w:tc>
          <w:tcPr>
            <w:tcW w:type="dxa" w:w="2340"/>
            <w:shd w:val="clear" w:color="auto" w:fill="F0F6FC"/>
          </w:tcPr>
          <w:p>
            <w:r>
              <w:rPr>
                <w:b/>
                <w:sz w:val="18"/>
              </w:rPr>
              <w:t>Total Purchases</w:t>
            </w:r>
          </w:p>
        </w:tc>
        <w:tc>
          <w:tcPr>
            <w:tcW w:type="dxa" w:w="2340"/>
            <w:shd w:val="clear" w:color="auto" w:fill="F0F6FC"/>
          </w:tcPr>
          <w:p>
            <w:pPr>
              <w:jc w:val="center"/>
            </w:pPr>
            <w:r>
              <w:rPr>
                <w:sz w:val="18"/>
              </w:rPr>
              <w:t>887</w:t>
            </w:r>
          </w:p>
        </w:tc>
        <w:tc>
          <w:tcPr>
            <w:tcW w:type="dxa" w:w="2340"/>
            <w:shd w:val="clear" w:color="auto" w:fill="F0F6FC"/>
          </w:tcPr>
          <w:p>
            <w:pPr>
              <w:jc w:val="center"/>
            </w:pPr>
            <w:r>
              <w:rPr>
                <w:sz w:val="18"/>
              </w:rPr>
              <w:t>2,426</w:t>
            </w:r>
          </w:p>
        </w:tc>
        <w:tc>
          <w:tcPr>
            <w:tcW w:type="dxa" w:w="2340"/>
            <w:shd w:val="clear" w:color="auto" w:fill="F0F6FC"/>
          </w:tcPr>
          <w:p>
            <w:pPr>
              <w:jc w:val="center"/>
            </w:pPr>
            <w:r>
              <w:rPr>
                <w:b/>
                <w:color w:val="4C9900"/>
                <w:sz w:val="18"/>
              </w:rPr>
              <w:t>+174%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Total ROAS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$0.55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$0.92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</w:pPr>
            <w:r>
              <w:rPr>
                <w:b/>
                <w:color w:val="4C9900"/>
                <w:sz w:val="18"/>
              </w:rPr>
              <w:t>+66%</w:t>
            </w:r>
          </w:p>
        </w:tc>
      </w:tr>
      <w:tr>
        <w:tc>
          <w:tcPr>
            <w:tcW w:type="dxa" w:w="2340"/>
            <w:shd w:val="clear" w:color="auto" w:fill="F0F6FC"/>
          </w:tcPr>
          <w:p>
            <w:r>
              <w:rPr>
                <w:b/>
                <w:sz w:val="18"/>
              </w:rPr>
              <w:t>Total CPA</w:t>
            </w:r>
          </w:p>
        </w:tc>
        <w:tc>
          <w:tcPr>
            <w:tcW w:type="dxa" w:w="2340"/>
            <w:shd w:val="clear" w:color="auto" w:fill="F0F6FC"/>
          </w:tcPr>
          <w:p>
            <w:pPr>
              <w:jc w:val="center"/>
            </w:pPr>
            <w:r>
              <w:rPr>
                <w:sz w:val="18"/>
              </w:rPr>
              <w:t>$95.20</w:t>
            </w:r>
          </w:p>
        </w:tc>
        <w:tc>
          <w:tcPr>
            <w:tcW w:type="dxa" w:w="2340"/>
            <w:shd w:val="clear" w:color="auto" w:fill="F0F6FC"/>
          </w:tcPr>
          <w:p>
            <w:pPr>
              <w:jc w:val="center"/>
            </w:pPr>
            <w:r>
              <w:rPr>
                <w:sz w:val="18"/>
              </w:rPr>
              <w:t>$61.62</w:t>
            </w:r>
          </w:p>
        </w:tc>
        <w:tc>
          <w:tcPr>
            <w:tcW w:type="dxa" w:w="2340"/>
            <w:shd w:val="clear" w:color="auto" w:fill="F0F6FC"/>
          </w:tcPr>
          <w:p>
            <w:pPr>
              <w:jc w:val="center"/>
            </w:pPr>
            <w:r>
              <w:rPr>
                <w:b/>
                <w:color w:val="4C9900"/>
                <w:sz w:val="18"/>
              </w:rPr>
              <w:t>-35%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Catering Revenue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$19,906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$62,436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</w:pPr>
            <w:r>
              <w:rPr>
                <w:b/>
                <w:color w:val="4C9900"/>
                <w:sz w:val="18"/>
              </w:rPr>
              <w:t>+214%</w:t>
            </w:r>
          </w:p>
        </w:tc>
      </w:tr>
      <w:tr>
        <w:tc>
          <w:tcPr>
            <w:tcW w:type="dxa" w:w="2340"/>
            <w:shd w:val="clear" w:color="auto" w:fill="F0F6FC"/>
          </w:tcPr>
          <w:p>
            <w:r>
              <w:rPr>
                <w:b/>
                <w:sz w:val="18"/>
              </w:rPr>
              <w:t>MyMendo Sign-Ups</w:t>
            </w:r>
          </w:p>
        </w:tc>
        <w:tc>
          <w:tcPr>
            <w:tcW w:type="dxa" w:w="2340"/>
            <w:shd w:val="clear" w:color="auto" w:fill="F0F6FC"/>
          </w:tcPr>
          <w:p>
            <w:pPr>
              <w:jc w:val="center"/>
            </w:pPr>
            <w:r>
              <w:rPr>
                <w:sz w:val="18"/>
              </w:rPr>
              <w:t>7,069</w:t>
            </w:r>
          </w:p>
        </w:tc>
        <w:tc>
          <w:tcPr>
            <w:tcW w:type="dxa" w:w="2340"/>
            <w:shd w:val="clear" w:color="auto" w:fill="F0F6FC"/>
          </w:tcPr>
          <w:p>
            <w:pPr>
              <w:jc w:val="center"/>
            </w:pPr>
            <w:r>
              <w:rPr>
                <w:sz w:val="18"/>
              </w:rPr>
              <w:t>12,756</w:t>
            </w:r>
          </w:p>
        </w:tc>
        <w:tc>
          <w:tcPr>
            <w:tcW w:type="dxa" w:w="2340"/>
            <w:shd w:val="clear" w:color="auto" w:fill="F0F6FC"/>
          </w:tcPr>
          <w:p>
            <w:pPr>
              <w:jc w:val="center"/>
            </w:pPr>
            <w:r>
              <w:rPr>
                <w:b/>
                <w:color w:val="4C9900"/>
                <w:sz w:val="18"/>
              </w:rPr>
              <w:t>+80%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Spend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$84,441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$149,502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+77%</w:t>
            </w:r>
          </w:p>
        </w:tc>
      </w:tr>
      <w:tr>
        <w:tc>
          <w:tcPr>
            <w:tcW w:type="dxa" w:w="2340"/>
            <w:shd w:val="clear" w:color="auto" w:fill="F0F6FC"/>
          </w:tcPr>
          <w:p>
            <w:r>
              <w:rPr>
                <w:b/>
                <w:sz w:val="18"/>
              </w:rPr>
              <w:t>CTR (Click-Through Rate)</w:t>
            </w:r>
          </w:p>
        </w:tc>
        <w:tc>
          <w:tcPr>
            <w:tcW w:type="dxa" w:w="2340"/>
            <w:shd w:val="clear" w:color="auto" w:fill="F0F6FC"/>
          </w:tcPr>
          <w:p>
            <w:pPr>
              <w:jc w:val="center"/>
            </w:pPr>
            <w:r>
              <w:rPr>
                <w:sz w:val="18"/>
              </w:rPr>
              <w:t>0.55%</w:t>
            </w:r>
          </w:p>
        </w:tc>
        <w:tc>
          <w:tcPr>
            <w:tcW w:type="dxa" w:w="2340"/>
            <w:shd w:val="clear" w:color="auto" w:fill="F0F6FC"/>
          </w:tcPr>
          <w:p>
            <w:pPr>
              <w:jc w:val="center"/>
            </w:pPr>
            <w:r>
              <w:rPr>
                <w:sz w:val="18"/>
              </w:rPr>
              <w:t>0.70%</w:t>
            </w:r>
          </w:p>
        </w:tc>
        <w:tc>
          <w:tcPr>
            <w:tcW w:type="dxa" w:w="2340"/>
            <w:shd w:val="clear" w:color="auto" w:fill="F0F6FC"/>
          </w:tcPr>
          <w:p>
            <w:pPr>
              <w:jc w:val="center"/>
            </w:pPr>
            <w:r>
              <w:rPr>
                <w:b/>
                <w:color w:val="4C9900"/>
                <w:sz w:val="18"/>
              </w:rPr>
              <w:t>+27%</w:t>
            </w:r>
          </w:p>
        </w:tc>
      </w:tr>
    </w:tbl>
    <w:p/>
    <w:p>
      <w:pPr>
        <w:pStyle w:val="Heading2"/>
      </w:pPr>
      <w:r>
        <w:rPr>
          <w:color w:val="003366"/>
          <w:sz w:val="24"/>
        </w:rPr>
        <w:t>The Bottom Line</w:t>
      </w:r>
    </w:p>
    <w:p>
      <w:r>
        <w:rPr>
          <w:sz w:val="20"/>
        </w:rPr>
        <w:t>By aligning ad delivery with realistic consumer drive behavior, Mendocino Farms achieved massive efficiency gains. Revenue growth (+194%) outpaced the increase in media spend (+77%) by more than 2.5x, proving that precision targeting based on accessibility directly drives stronger business outcomes across both core store sales and new store openings.</w:t>
      </w:r>
    </w:p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