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0"/>
      </w:pPr>
    </w:p>
    <w:p>
      <w:pPr>
        <w:jc w:val="center"/>
      </w:pPr>
      <w:r>
        <w:rPr>
          <w:rFonts w:ascii="Times New Roman" w:cs="Times New Roman" w:eastAsia="Times New Roman" w:hAnsi="Times New Roman"/>
          <w:b/>
          <w:bCs/>
          <w:color w:val="020617"/>
          <w:sz w:val="72"/>
          <w:szCs w:val="72"/>
        </w:rPr>
        <w:t xml:space="preserve">JARVIS 3.0</w:t>
      </w:r>
    </w:p>
    <w:p>
      <w:pPr>
        <w:spacing w:before="200"/>
        <w:jc w:val="center"/>
      </w:pPr>
      <w:r>
        <w:rPr>
          <w:rFonts w:ascii="Times New Roman" w:cs="Times New Roman" w:eastAsia="Times New Roman" w:hAnsi="Times New Roman"/>
          <w:color w:val="64748B"/>
          <w:sz w:val="32"/>
          <w:szCs w:val="32"/>
        </w:rPr>
        <w:t xml:space="preserve">SELF-EVOLVING AI STUDY SYSTEM</w:t>
      </w:r>
    </w:p>
    <w:p>
      <w:pPr>
        <w:spacing w:before="400"/>
        <w:jc w:val="center"/>
      </w:pPr>
      <w:r>
        <w:rPr>
          <w:rFonts w:ascii="Times New Roman" w:cs="Times New Roman" w:eastAsia="Times New Roman" w:hAnsi="Times New Roman"/>
          <w:color w:val="1E293B"/>
          <w:sz w:val="28"/>
          <w:szCs w:val="28"/>
        </w:rPr>
        <w:t xml:space="preserve">100x Advanced Logical Blueprint</w:t>
      </w:r>
    </w:p>
    <w:p>
      <w:pPr>
        <w:spacing w:before="200"/>
        <w:jc w:val="center"/>
      </w:pPr>
      <w:r>
        <w:rPr>
          <w:rFonts w:ascii="Times New Roman" w:cs="Times New Roman" w:eastAsia="Times New Roman" w:hAnsi="Times New Roman"/>
          <w:color w:val="1E293B"/>
          <w:sz w:val="28"/>
          <w:szCs w:val="28"/>
        </w:rPr>
        <w:t xml:space="preserve">B.Sc Computer Science Entrance Exam</w:t>
      </w:r>
    </w:p>
    <w:p>
      <w:pPr>
        <w:spacing w:before="200"/>
        <w:jc w:val="center"/>
      </w:pPr>
      <w:r>
        <w:rPr>
          <w:rFonts w:ascii="Times New Roman" w:cs="Times New Roman" w:eastAsia="Times New Roman" w:hAnsi="Times New Roman"/>
          <w:color w:val="1E293B"/>
          <w:sz w:val="28"/>
          <w:szCs w:val="28"/>
        </w:rPr>
        <w:t xml:space="preserve">Loyola Academy, Hyderabad</w:t>
      </w:r>
    </w:p>
    <w:p>
      <w:pPr>
        <w:spacing w:before="600"/>
        <w:jc w:val="center"/>
      </w:pPr>
      <w:r>
        <w:rPr>
          <w:rFonts w:ascii="Times New Roman" w:cs="Times New Roman" w:eastAsia="Times New Roman" w:hAnsi="Times New Roman"/>
          <w:b/>
          <w:bCs/>
          <w:color w:val="020617"/>
          <w:sz w:val="36"/>
          <w:szCs w:val="36"/>
        </w:rPr>
        <w:t xml:space="preserve">90 Days to Excellence</w:t>
      </w:r>
    </w:p>
    <w:p>
      <w:pPr>
        <w:spacing w:before="400"/>
        <w:jc w:val="center"/>
      </w:pPr>
      <w:r>
        <w:rPr>
          <w:rFonts w:ascii="Times New Roman" w:cs="Times New Roman" w:eastAsia="Times New Roman" w:hAnsi="Times New Roman"/>
          <w:color w:val="64748B"/>
          <w:sz w:val="24"/>
          <w:szCs w:val="24"/>
        </w:rPr>
        <w:t xml:space="preserve">Subjects: Mathematics | Physics | Chemistry | English</w:t>
      </w:r>
    </w:p>
    <w:p>
      <w:pPr>
        <w:spacing w:before="800"/>
        <w:jc w:val="center"/>
      </w:pPr>
      <w:r>
        <w:rPr>
          <w:rFonts w:ascii="Times New Roman" w:cs="Times New Roman" w:eastAsia="Times New Roman" w:hAnsi="Times New Roman"/>
          <w:i/>
          <w:iCs/>
          <w:color w:val="94A3B8"/>
          <w:sz w:val="22"/>
          <w:szCs w:val="22"/>
        </w:rPr>
        <w:t xml:space="preserve">Deepest Analysis | Micro-Level Details | Zero Logical Gaps</w:t>
      </w:r>
    </w:p>
    <w:p>
      <w:pPr>
        <w:sectPr>
          <w:pgSz w:w="11906" w:h="16838" w:orient="portrait"/>
          <w:pgMar w:top="0" w:right="0" w:bottom="0" w:left="0" w:header="708" w:footer="708" w:gutter="0"/>
          <w:pgNumType/>
          <w:docGrid w:linePitch="360"/>
        </w:sectPr>
      </w:pPr>
    </w:p>
    <w:p>
      <w:pPr>
        <w:pStyle w:val="Title"/>
      </w:pPr>
      <w:r>
        <w:t xml:space="preserve">Table of Contents</w:t>
      </w:r>
    </w:p>
    <w:sdt>
      <w:sdtPr>
        <w:alias w:val="Table of Contents"/>
      </w:sdtPr>
      <w:sdtContent>
        <w:p>
          <w:r>
            <w:fldChar w:fldCharType="begin" w:dirty="true"/>
            <w:instrText xml:space="preserve">TOC \h \o "1-3"</w:instrText>
            <w:fldChar w:fldCharType="separate"/>
          </w:r>
        </w:p>
        <w:p>
          <w:pPr>
            <w:pStyle w:val="9"/>
            <w:tabs>
              <w:tab w:val="right" w:leader="dot" w:pos="9026"/>
            </w:tabs>
          </w:pPr>
          <w:r>
            <w:t>PART 1: EXAM INTELLIGENCE - COMPLETE DECODING</w:t>
          </w:r>
          <w:r>
            <w:tab/>
          </w:r>
          <w:r>
            <w:t>3</w:t>
          </w:r>
        </w:p>
        <w:p>
          <w:pPr>
            <w:pStyle w:val="11"/>
            <w:ind w:left="360"/>
            <w:tabs>
              <w:tab w:val="right" w:leader="dot" w:pos="9026"/>
            </w:tabs>
          </w:pPr>
          <w:r>
            <w:t>1.1 Loyola Academy Entrance Exam Pattern (Exact)</w:t>
          </w:r>
          <w:r>
            <w:tab/>
          </w:r>
          <w:r>
            <w:t>3</w:t>
          </w:r>
        </w:p>
        <w:p>
          <w:pPr>
            <w:pStyle w:val="11"/>
            <w:ind w:left="360"/>
            <w:tabs>
              <w:tab w:val="right" w:leader="dot" w:pos="9026"/>
            </w:tabs>
          </w:pPr>
          <w:r>
            <w:t>1.2 Critical Strategic Insights from Pattern Analysis</w:t>
          </w:r>
          <w:r>
            <w:tab/>
          </w:r>
          <w:r>
            <w:t>4</w:t>
          </w:r>
        </w:p>
        <w:p>
          <w:pPr>
            <w:pStyle w:val="11"/>
            <w:ind w:left="360"/>
            <w:tabs>
              <w:tab w:val="right" w:leader="dot" w:pos="9026"/>
            </w:tabs>
          </w:pPr>
          <w:r>
            <w:t>1.3 Subject-wise High-Yield Topic Analysis</w:t>
          </w:r>
          <w:r>
            <w:tab/>
          </w:r>
          <w:r>
            <w:t>5</w:t>
          </w:r>
        </w:p>
        <w:p>
          <w:pPr>
            <w:pStyle w:val="9"/>
            <w:tabs>
              <w:tab w:val="right" w:leader="dot" w:pos="9026"/>
            </w:tabs>
          </w:pPr>
          <w:r>
            <w:t>PART 2: JARVIS AI SYSTEM - DEEPEST LOGICAL ANALYSIS</w:t>
          </w:r>
          <w:r>
            <w:tab/>
          </w:r>
          <w:r>
            <w:t>8</w:t>
          </w:r>
        </w:p>
        <w:p>
          <w:pPr>
            <w:pStyle w:val="11"/>
            <w:ind w:left="360"/>
            <w:tabs>
              <w:tab w:val="right" w:leader="dot" w:pos="9026"/>
            </w:tabs>
          </w:pPr>
          <w:r>
            <w:t>2.1 Core Philosophy: Zero-to-Hero Evolution Model</w:t>
          </w:r>
          <w:r>
            <w:tab/>
          </w:r>
          <w:r>
            <w:t>8</w:t>
          </w:r>
        </w:p>
        <w:p>
          <w:pPr>
            <w:pStyle w:val="11"/>
            <w:ind w:left="360"/>
            <w:tabs>
              <w:tab w:val="right" w:leader="dot" w:pos="9026"/>
            </w:tabs>
          </w:pPr>
          <w:r>
            <w:t>2.2 The Decision Brain: How AI Decides What to Teach</w:t>
          </w:r>
          <w:r>
            <w:tab/>
          </w:r>
          <w:r>
            <w:t>9</w:t>
          </w:r>
        </w:p>
        <w:p>
          <w:pPr>
            <w:pStyle w:val="11"/>
            <w:ind w:left="360"/>
            <w:tabs>
              <w:tab w:val="right" w:leader="dot" w:pos="9026"/>
            </w:tabs>
          </w:pPr>
          <w:r>
            <w:t>2.3 Content Selection Logic: Micro-Level Decision Tree</w:t>
          </w:r>
          <w:r>
            <w:tab/>
          </w:r>
          <w:r>
            <w:t>10</w:t>
          </w:r>
        </w:p>
        <w:p>
          <w:pPr>
            <w:pStyle w:val="11"/>
            <w:ind w:left="360"/>
            <w:tabs>
              <w:tab w:val="right" w:leader="dot" w:pos="9026"/>
            </w:tabs>
          </w:pPr>
          <w:r>
            <w:t>2.4 Assessment System: How AI Tests Without External Sources</w:t>
          </w:r>
          <w:r>
            <w:tab/>
          </w:r>
          <w:r>
            <w:t>11</w:t>
          </w:r>
        </w:p>
        <w:p>
          <w:pPr>
            <w:pStyle w:val="11"/>
            <w:ind w:left="360"/>
            <w:tabs>
              <w:tab w:val="right" w:leader="dot" w:pos="9026"/>
            </w:tabs>
          </w:pPr>
          <w:r>
            <w:t>2.5 Real-Time Adaptation: How AI Responds During Study Sessions</w:t>
          </w:r>
          <w:r>
            <w:tab/>
          </w:r>
          <w:r>
            <w:t>12</w:t>
          </w:r>
        </w:p>
        <w:p>
          <w:pPr>
            <w:pStyle w:val="9"/>
            <w:tabs>
              <w:tab w:val="right" w:leader="dot" w:pos="9026"/>
            </w:tabs>
          </w:pPr>
          <w:r>
            <w:t>PART 3: 90-DAY STRATEGIC PLAN - MICRO-LEVEL BREAKDOWN</w:t>
          </w:r>
          <w:r>
            <w:tab/>
          </w:r>
          <w:r>
            <w:t>13</w:t>
          </w:r>
        </w:p>
        <w:p>
          <w:pPr>
            <w:pStyle w:val="11"/>
            <w:ind w:left="360"/>
            <w:tabs>
              <w:tab w:val="right" w:leader="dot" w:pos="9026"/>
            </w:tabs>
          </w:pPr>
          <w:r>
            <w:t>3.1 Phase Structure and Time Allocation</w:t>
          </w:r>
          <w:r>
            <w:tab/>
          </w:r>
          <w:r>
            <w:t>13</w:t>
          </w:r>
        </w:p>
        <w:p>
          <w:pPr>
            <w:pStyle w:val="11"/>
            <w:ind w:left="360"/>
            <w:tabs>
              <w:tab w:val="right" w:leader="dot" w:pos="9026"/>
            </w:tabs>
          </w:pPr>
          <w:r>
            <w:t>3.2 Phase 1: Foundation Building (Days 1-30)</w:t>
          </w:r>
          <w:r>
            <w:tab/>
          </w:r>
          <w:r>
            <w:t>14</w:t>
          </w:r>
        </w:p>
        <w:p>
          <w:pPr>
            <w:pStyle w:val="11"/>
            <w:ind w:left="360"/>
            <w:tabs>
              <w:tab w:val="right" w:leader="dot" w:pos="9026"/>
            </w:tabs>
          </w:pPr>
          <w:r>
            <w:t>3.3 Phase 2: Consolidation (Days 31-60)</w:t>
          </w:r>
          <w:r>
            <w:tab/>
          </w:r>
          <w:r>
            <w:t>15</w:t>
          </w:r>
        </w:p>
        <w:p>
          <w:pPr>
            <w:pStyle w:val="11"/>
            <w:ind w:left="360"/>
            <w:tabs>
              <w:tab w:val="right" w:leader="dot" w:pos="9026"/>
            </w:tabs>
          </w:pPr>
          <w:r>
            <w:t>3.4 Phase 3: Mastery (Days 61-90)</w:t>
          </w:r>
          <w:r>
            <w:tab/>
          </w:r>
          <w:r>
            <w:t>15</w:t>
          </w:r>
        </w:p>
        <w:p>
          <w:pPr>
            <w:pStyle w:val="9"/>
            <w:tabs>
              <w:tab w:val="right" w:leader="dot" w:pos="9026"/>
            </w:tabs>
          </w:pPr>
          <w:r>
            <w:t>PART 4: PSYCHOLOGICAL MANIPULATION ENGINE</w:t>
          </w:r>
          <w:r>
            <w:tab/>
          </w:r>
          <w:r>
            <w:t>16</w:t>
          </w:r>
        </w:p>
        <w:p>
          <w:pPr>
            <w:pStyle w:val="11"/>
            <w:ind w:left="360"/>
            <w:tabs>
              <w:tab w:val="right" w:leader="dot" w:pos="9026"/>
            </w:tabs>
          </w:pPr>
          <w:r>
            <w:t>4.1 Scientific Basis for Behavioral Modification</w:t>
          </w:r>
          <w:r>
            <w:tab/>
          </w:r>
          <w:r>
            <w:t>16</w:t>
          </w:r>
        </w:p>
        <w:p>
          <w:pPr>
            <w:pStyle w:val="11"/>
            <w:ind w:left="360"/>
            <w:tabs>
              <w:tab w:val="right" w:leader="dot" w:pos="9026"/>
            </w:tabs>
          </w:pPr>
          <w:r>
            <w:t>4.2 Dopamine Reward System Implementation</w:t>
          </w:r>
          <w:r>
            <w:tab/>
          </w:r>
          <w:r>
            <w:t>16</w:t>
          </w:r>
        </w:p>
        <w:p>
          <w:pPr>
            <w:pStyle w:val="11"/>
            <w:ind w:left="360"/>
            <w:tabs>
              <w:tab w:val="right" w:leader="dot" w:pos="9026"/>
            </w:tabs>
          </w:pPr>
          <w:r>
            <w:t>4.3 Loss Aversion Manipulation</w:t>
          </w:r>
          <w:r>
            <w:tab/>
          </w:r>
          <w:r>
            <w:t>16</w:t>
          </w:r>
        </w:p>
        <w:p>
          <w:pPr>
            <w:pStyle w:val="11"/>
            <w:ind w:left="360"/>
            <w:tabs>
              <w:tab w:val="right" w:leader="dot" w:pos="9026"/>
            </w:tabs>
          </w:pPr>
          <w:r>
            <w:t>4.4 Social Comparison and Competition</w:t>
          </w:r>
          <w:r>
            <w:tab/>
          </w:r>
          <w:r>
            <w:t>17</w:t>
          </w:r>
        </w:p>
        <w:p>
          <w:pPr>
            <w:pStyle w:val="9"/>
            <w:tabs>
              <w:tab w:val="right" w:leader="dot" w:pos="9026"/>
            </w:tabs>
          </w:pPr>
          <w:r>
            <w:t>PART 5: SELF-EVOLVING AI ARCHITECTURE</w:t>
          </w:r>
          <w:r>
            <w:tab/>
          </w:r>
          <w:r>
            <w:t>17</w:t>
          </w:r>
        </w:p>
        <w:p>
          <w:pPr>
            <w:pStyle w:val="11"/>
            <w:ind w:left="360"/>
            <w:tabs>
              <w:tab w:val="right" w:leader="dot" w:pos="9026"/>
            </w:tabs>
          </w:pPr>
          <w:r>
            <w:t>5.1 Genetic Algorithm for Strategy Evolution</w:t>
          </w:r>
          <w:r>
            <w:tab/>
          </w:r>
          <w:r>
            <w:t>17</w:t>
          </w:r>
        </w:p>
        <w:p>
          <w:pPr>
            <w:pStyle w:val="11"/>
            <w:ind w:left="360"/>
            <w:tabs>
              <w:tab w:val="right" w:leader="dot" w:pos="9026"/>
            </w:tabs>
          </w:pPr>
          <w:r>
            <w:t>5.2 Reinforcement Learning for Timing Optimization</w:t>
          </w:r>
          <w:r>
            <w:tab/>
          </w:r>
          <w:r>
            <w:t>18</w:t>
          </w:r>
        </w:p>
        <w:p>
          <w:pPr>
            <w:pStyle w:val="11"/>
            <w:ind w:left="360"/>
            <w:tabs>
              <w:tab w:val="right" w:leader="dot" w:pos="9026"/>
            </w:tabs>
          </w:pPr>
          <w:r>
            <w:t>5.3 Code Auto-Update Mechanism</w:t>
          </w:r>
          <w:r>
            <w:tab/>
          </w:r>
          <w:r>
            <w:t>18</w:t>
          </w:r>
        </w:p>
        <w:p>
          <w:pPr>
            <w:pStyle w:val="9"/>
            <w:tabs>
              <w:tab w:val="right" w:leader="dot" w:pos="9026"/>
            </w:tabs>
          </w:pPr>
          <w:r>
            <w:t>PART 6: TECHNICAL IMPLEMENTATION FOR TERMUX/ANDROID</w:t>
          </w:r>
          <w:r>
            <w:tab/>
          </w:r>
          <w:r>
            <w:t>19</w:t>
          </w:r>
        </w:p>
        <w:p>
          <w:pPr>
            <w:pStyle w:val="11"/>
            <w:ind w:left="360"/>
            <w:tabs>
              <w:tab w:val="right" w:leader="dot" w:pos="9026"/>
            </w:tabs>
          </w:pPr>
          <w:r>
            <w:t>6.1 System Requirements</w:t>
          </w:r>
          <w:r>
            <w:tab/>
          </w:r>
          <w:r>
            <w:t>19</w:t>
          </w:r>
        </w:p>
        <w:p>
          <w:pPr>
            <w:pStyle w:val="11"/>
            <w:ind w:left="360"/>
            <w:tabs>
              <w:tab w:val="right" w:leader="dot" w:pos="9026"/>
            </w:tabs>
          </w:pPr>
          <w:r>
            <w:t>6.2 Architecture Overview</w:t>
          </w:r>
          <w:r>
            <w:tab/>
          </w:r>
          <w:r>
            <w:t>19</w:t>
          </w:r>
        </w:p>
        <w:p>
          <w:pPr>
            <w:pStyle w:val="11"/>
            <w:ind w:left="360"/>
            <w:tabs>
              <w:tab w:val="right" w:leader="dot" w:pos="9026"/>
            </w:tabs>
          </w:pPr>
          <w:r>
            <w:t>6.3 Privacy and Security Considerations</w:t>
          </w:r>
          <w:r>
            <w:tab/>
          </w:r>
          <w:r>
            <w:t>19</w:t>
          </w:r>
        </w:p>
        <w:p>
          <w:pPr>
            <w:pStyle w:val="9"/>
            <w:tabs>
              <w:tab w:val="right" w:leader="dot" w:pos="9026"/>
            </w:tabs>
          </w:pPr>
          <w:r>
            <w:t>CONCLUSION: THE PATH TO EXCELLENCE</w:t>
          </w:r>
          <w:r>
            <w:tab/>
          </w:r>
          <w:r>
            <w:t>20</w:t>
          </w:r>
        </w:p>
        <w:p>
          <w:r>
            <w:fldChar w:fldCharType="end"/>
          </w:r>
        </w:p>
      </w:sdtContent>
    </w:sdt>
    <w:p>
      <w:pPr>
        <w:spacing w:before="200"/>
        <w:jc w:val="center"/>
      </w:pPr>
      <w:r>
        <w:rPr>
          <w:rFonts w:ascii="Times New Roman" w:cs="Times New Roman" w:eastAsia="Times New Roman" w:hAnsi="Times New Roman"/>
          <w:i/>
          <w:iCs/>
          <w:color w:val="999999"/>
          <w:sz w:val="18"/>
          <w:szCs w:val="18"/>
        </w:rPr>
        <w:t xml:space="preserve">Note: Right-click TOC and select 'Update Field' for correct page numbers</w:t>
      </w:r>
    </w:p>
    <w:p>
      <w:r>
        <w:br w:type="page"/>
      </w:r>
    </w:p>
    <w:p>
      <w:pPr>
        <w:pStyle w:val="Heading1"/>
      </w:pPr>
      <w:r>
        <w:t xml:space="preserve">PART 1: EXAM INTELLIGENCE - COMPLETE DECODING</w:t>
      </w:r>
    </w:p>
    <w:p>
      <w:pPr>
        <w:pStyle w:val="Heading2"/>
      </w:pPr>
      <w:r>
        <w:t xml:space="preserve">1.1 Loyola Academy Entrance Exam Pattern (Exact)</w:t>
      </w:r>
    </w:p>
    <w:p>
      <w:pPr>
        <w:spacing w:before="100" w:after="100"/>
      </w:pPr>
      <w:r>
        <w:rPr>
          <w:rFonts w:ascii="Times New Roman" w:cs="Times New Roman" w:eastAsia="Times New Roman" w:hAnsi="Times New Roman"/>
          <w:sz w:val="24"/>
          <w:szCs w:val="24"/>
        </w:rPr>
        <w:t xml:space="preserve">Research Source: Official Loyola Academy UG Admission Notification 2024-25 and Entrance Exam PDF documents reveal the exact pattern. The entrance examination is conducted for admission to various B.Sc programs including Computer Science &amp; Cloud Computing, Computer Science &amp; IoT, Computer Science &amp; Machine Learning, and traditional Computer Science streams. The question paper is explicitly based on the Telangana Intermediate syllabus, which aligns with the standard Class 11-12 curriculum prescribed by the Telangana State Board of Intermediate Education (TSBIE).</w:t>
      </w:r>
    </w:p>
    <w:p>
      <w:pPr>
        <w:pStyle w:val="Heading3"/>
      </w:pPr>
      <w:r>
        <w:t xml:space="preserve">Question Paper Structure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3120"/>
        <w:gridCol w:w="3120"/>
      </w:tblGrid>
      <w:tr>
        <w:trPr>
          <w:tblHeader/>
        </w:trPr>
        <w:tc>
          <w:tcPr>
            <w:tcW w:type="dxa" w:w="468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Parameter</w:t>
            </w:r>
          </w:p>
        </w:tc>
        <w:tc>
          <w:tcPr>
            <w:tcW w:type="dxa" w:w="468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Value</w:t>
            </w:r>
          </w:p>
        </w:tc>
        <w:tc>
          <w:tcPr>
            <w:tcW w:type="dxa" w:w="468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Notes</w:t>
            </w:r>
          </w:p>
        </w:tc>
      </w:tr>
      <w:tr>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Total Questions</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50</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MCQ Format</w:t>
            </w:r>
          </w:p>
        </w:tc>
      </w:tr>
      <w:tr>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Total Time</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50 Minutes</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 minute per question</w:t>
            </w:r>
          </w:p>
        </w:tc>
      </w:tr>
      <w:tr>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Mathematics</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20 Questions</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40% weightage - Highest</w:t>
            </w:r>
          </w:p>
        </w:tc>
      </w:tr>
      <w:tr>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Physics</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15 Questions</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30% weightage</w:t>
            </w:r>
          </w:p>
        </w:tc>
      </w:tr>
      <w:tr>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Chemistry</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10 Questions</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20% weightage (estimated)</w:t>
            </w:r>
          </w:p>
        </w:tc>
      </w:tr>
      <w:tr>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English</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5 Questions</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10% weightage (estimated)</w:t>
            </w:r>
          </w:p>
        </w:tc>
      </w:tr>
    </w:tbl>
    <w:p>
      <w:pPr>
        <w:spacing w:before="100" w:after="200"/>
        <w:jc w:val="center"/>
      </w:pPr>
      <w:r>
        <w:rPr>
          <w:rFonts w:ascii="Times New Roman" w:cs="Times New Roman" w:eastAsia="Times New Roman" w:hAnsi="Times New Roman"/>
          <w:i/>
          <w:iCs/>
          <w:color w:val="64748B"/>
          <w:sz w:val="20"/>
          <w:szCs w:val="20"/>
        </w:rPr>
        <w:t xml:space="preserve">Table 1: Loyola Academy B.Sc CS Entrance Exam Pattern</w:t>
      </w:r>
    </w:p>
    <w:p>
      <w:pPr>
        <w:pStyle w:val="Heading2"/>
      </w:pPr>
      <w:r>
        <w:t xml:space="preserve">1.2 Critical Strategic Insights from Pattern Analysis</w:t>
      </w:r>
    </w:p>
    <w:p>
      <w:pPr>
        <w:spacing w:before="100"/>
      </w:pPr>
      <w:r>
        <w:rPr>
          <w:rFonts w:ascii="Times New Roman" w:cs="Times New Roman" w:eastAsia="Times New Roman" w:hAnsi="Times New Roman"/>
          <w:sz w:val="24"/>
          <w:szCs w:val="24"/>
        </w:rPr>
        <w:t xml:space="preserve">The 50-minute duration for 50 questions creates significant time pressure, averaging exactly 60 seconds per question. This time constraint fundamentally shapes the preparation strategy in several critical ways. First, the examination does not test deep conceptual understanding but rather quick recall and pattern recognition abilities. Students who can rapidly identify question types and apply standard solution templates will have a decisive advantage over those who attempt to solve problems from first principles during the exam.</w:t>
      </w:r>
    </w:p>
    <w:p>
      <w:pPr>
        <w:spacing w:before="100"/>
      </w:pPr>
      <w:r>
        <w:rPr>
          <w:rFonts w:ascii="Times New Roman" w:cs="Times New Roman" w:eastAsia="Times New Roman" w:hAnsi="Times New Roman"/>
          <w:sz w:val="24"/>
          <w:szCs w:val="24"/>
        </w:rPr>
        <w:t xml:space="preserve">The 40% weightage given to Mathematics makes it the single most important subject for exam success. A strong performance in Mathematics alone can secure approximately 20 marks out of 50, which means a student needs only 10 more marks from Physics, Chemistry, and English combined to achieve a 60% score. Conversely, weakness in Mathematics creates a significant handicap that is difficult to overcome through strong performance in other subjects due to their lower weightage.</w:t>
      </w:r>
    </w:p>
    <w:p>
      <w:pPr>
        <w:spacing w:before="100"/>
      </w:pPr>
      <w:r>
        <w:rPr>
          <w:rFonts w:ascii="Times New Roman" w:cs="Times New Roman" w:eastAsia="Times New Roman" w:hAnsi="Times New Roman"/>
          <w:sz w:val="24"/>
          <w:szCs w:val="24"/>
        </w:rPr>
        <w:t xml:space="preserve">The syllabus being based on Telangana Intermediate curriculum means that NCERT textbooks for Classes 11 and 12 provide the foundational content. However, the entrance exam questions are typically simpler than JEE or EAMCET level questions, focusing more on direct application of formulas and concepts rather than multi-step complex problems. This characteristic makes the exam highly suitable for intensive 90-day preparation if the right strategy is employed.</w:t>
      </w:r>
    </w:p>
    <w:p>
      <w:pPr>
        <w:pStyle w:val="Heading2"/>
      </w:pPr>
      <w:r>
        <w:t xml:space="preserve">1.3 Subject-wise High-Yield Topic Analysis</w:t>
      </w:r>
    </w:p>
    <w:p>
      <w:pPr>
        <w:pStyle w:val="Heading3"/>
      </w:pPr>
      <w:r>
        <w:t xml:space="preserve">Mathematics (20 Questions - CRITICAL)</w:t>
      </w:r>
    </w:p>
    <w:p>
      <w:pPr>
        <w:spacing w:before="100"/>
      </w:pPr>
      <w:r>
        <w:rPr>
          <w:rFonts w:ascii="Times New Roman" w:cs="Times New Roman" w:eastAsia="Times New Roman" w:hAnsi="Times New Roman"/>
          <w:sz w:val="24"/>
          <w:szCs w:val="24"/>
        </w:rPr>
        <w:t xml:space="preserve">Research from multiple entrance exam analyses (CUET, KCET, JEE Main patterns) reveals consistent high-weightage topics that appear across science entrance examinations. For the Loyola Academy entrance specifically, the following topics carry maximum probability of appearing based on their fundamental importance and frequency in similar examinations.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Topic</w:t>
            </w:r>
          </w:p>
        </w:tc>
        <w:tc>
          <w:tcPr>
            <w:tcW w:type="dxa" w:w="180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Expected Qs</w:t>
            </w:r>
          </w:p>
        </w:tc>
        <w:tc>
          <w:tcPr>
            <w:tcW w:type="dxa" w:w="476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Why Important</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Functions &amp; Relations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2-3</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Foundation for all mathematics, frequently tested</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Trigonometric Equations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2-3</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Standard formulas, quick solving possible</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Limits &amp; Derivatives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2-3</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Calculus foundation, high scoring potential</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Matrices &amp; Determinants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Direct formula application, low complexity</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Probability</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Standard problems, conceptual clarity needed</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Coordinate Geometry</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2-3</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Straight lines, circles - formula based</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Vectors &amp; 3D Geometry</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Direct application problems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Sequences &amp; Series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AP/GP formulas, straightforward</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Complex Numbers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Basic operations, modulus-argument</w:t>
            </w:r>
          </w:p>
        </w:tc>
      </w:tr>
    </w:tbl>
    <w:p>
      <w:pPr>
        <w:spacing w:before="100" w:after="200"/>
        <w:jc w:val="center"/>
      </w:pPr>
      <w:r>
        <w:rPr>
          <w:rFonts w:ascii="Times New Roman" w:cs="Times New Roman" w:eastAsia="Times New Roman" w:hAnsi="Times New Roman"/>
          <w:i/>
          <w:iCs/>
          <w:color w:val="64748B"/>
          <w:sz w:val="20"/>
          <w:szCs w:val="20"/>
        </w:rPr>
        <w:t xml:space="preserve">Table 2: Mathematics High-Yield Topics with Expected Question Distribution</w:t>
      </w:r>
    </w:p>
    <w:p>
      <w:pPr>
        <w:pStyle w:val="Heading3"/>
      </w:pPr>
      <w:r>
        <w:t xml:space="preserve">Physics (15 Questions)</w:t>
      </w:r>
    </w:p>
    <w:p>
      <w:pPr>
        <w:spacing w:before="100"/>
      </w:pPr>
      <w:r>
        <w:rPr>
          <w:rFonts w:ascii="Times New Roman" w:cs="Times New Roman" w:eastAsia="Times New Roman" w:hAnsi="Times New Roman"/>
          <w:sz w:val="24"/>
          <w:szCs w:val="24"/>
        </w:rPr>
        <w:t xml:space="preserve">Physics preparation for entrance exams must focus on conceptual clarity combined with numerical problem-solving. Research from JEE Main, CUET, and state-level entrance examinations consistently shows that certain chapters contribute disproportionately to the total questions asked. The analysis of chapter-wise weightage from multiple sources indicates that Mechanics and Electrodynamics together account for approximately 50-60% of physics questions in most entrance examinations.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Topic</w:t>
            </w:r>
          </w:p>
        </w:tc>
        <w:tc>
          <w:tcPr>
            <w:tcW w:type="dxa" w:w="180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Expected Qs</w:t>
            </w:r>
          </w:p>
        </w:tc>
        <w:tc>
          <w:tcPr>
            <w:tcW w:type="dxa" w:w="476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Key Concepts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Current Electricity</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2-3</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Ohm's law, Kirchhoff's rules, resistances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Electrostatics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Coulomb's law, electric field, potential</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Kinematics &amp; Laws of Motion</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2-3</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Equations of motion, Newton's laws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Thermodynamics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Laws of thermodynamics, heat engines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Ray Optics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Mirrors, lenses, refraction formulas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Modern Physics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Photoelectric effect, atomic structure</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Waves &amp; Oscillations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SHM, wave properties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Magnetic Effects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Biot-Savart law, Ampere's law</w:t>
            </w:r>
          </w:p>
        </w:tc>
      </w:tr>
    </w:tbl>
    <w:p>
      <w:pPr>
        <w:spacing w:before="100" w:after="200"/>
        <w:jc w:val="center"/>
      </w:pPr>
      <w:r>
        <w:rPr>
          <w:rFonts w:ascii="Times New Roman" w:cs="Times New Roman" w:eastAsia="Times New Roman" w:hAnsi="Times New Roman"/>
          <w:i/>
          <w:iCs/>
          <w:color w:val="64748B"/>
          <w:sz w:val="20"/>
          <w:szCs w:val="20"/>
        </w:rPr>
        <w:t xml:space="preserve">Table 3: Physics High-Yield Topics with Expected Question Distribution</w:t>
      </w:r>
    </w:p>
    <w:p>
      <w:pPr>
        <w:pStyle w:val="Heading3"/>
      </w:pPr>
      <w:r>
        <w:t xml:space="preserve">Chemistry (10 Questions)</w:t>
      </w:r>
    </w:p>
    <w:p>
      <w:pPr>
        <w:spacing w:before="100"/>
      </w:pPr>
      <w:r>
        <w:rPr>
          <w:rFonts w:ascii="Times New Roman" w:cs="Times New Roman" w:eastAsia="Times New Roman" w:hAnsi="Times New Roman"/>
          <w:sz w:val="24"/>
          <w:szCs w:val="24"/>
        </w:rPr>
        <w:t xml:space="preserve">Chemistry in entrance examinations is typically divided into Physical, Organic, and Inorganic chemistry, with each branch contributing roughly equally to the total questions. However, for quick preparation, certain topics offer better return on investment due to their direct question patterns and formula-based nature. Physical Chemistry problems are often numerical and formula-based, making them high-scoring for students who have practiced standard problem types. Inorganic Chemistry requires memorization of trends and properties, while Organic Chemistry tests reaction mechanisms and functional group properties.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800"/>
        <w:gridCol w:w="1800"/>
        <w:gridCol w:w="4760"/>
      </w:tblGrid>
      <w:tr>
        <w:trPr>
          <w:tblHeader/>
        </w:trPr>
        <w:tc>
          <w:tcPr>
            <w:tcW w:type="dxa" w:w="280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Topic</w:t>
            </w:r>
          </w:p>
        </w:tc>
        <w:tc>
          <w:tcPr>
            <w:tcW w:type="dxa" w:w="180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Expected Qs</w:t>
            </w:r>
          </w:p>
        </w:tc>
        <w:tc>
          <w:tcPr>
            <w:tcW w:type="dxa" w:w="476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Key Concepts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Chemical Bonding</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VSEPR, hybridization, bond parameters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Thermodynamics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Enthalpy, entropy, Gibbs energy</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Electrochemistry</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Nernst equation, conductivity</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p-Block Elements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Group 15-18 properties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Organic Basics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1-2</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Nomenclature, isomerism</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Hydrocarbons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Alkanes, alkenes, alkynes</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Solutions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Concentration terms, Raoult's law</w:t>
            </w:r>
          </w:p>
        </w:tc>
      </w:tr>
      <w:tr>
        <w:tc>
          <w:tcPr>
            <w:tcW w:type="dxa" w:w="2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Coordination Compounds</w:t>
            </w:r>
          </w:p>
        </w:tc>
        <w:tc>
          <w:tcPr>
            <w:tcW w:type="dxa" w:w="180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476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Nomenclature, isomerism</w:t>
            </w:r>
          </w:p>
        </w:tc>
      </w:tr>
    </w:tbl>
    <w:p>
      <w:pPr>
        <w:spacing w:before="100" w:after="200"/>
        <w:jc w:val="center"/>
      </w:pPr>
      <w:r>
        <w:rPr>
          <w:rFonts w:ascii="Times New Roman" w:cs="Times New Roman" w:eastAsia="Times New Roman" w:hAnsi="Times New Roman"/>
          <w:i/>
          <w:iCs/>
          <w:color w:val="64748B"/>
          <w:sz w:val="20"/>
          <w:szCs w:val="20"/>
        </w:rPr>
        <w:t xml:space="preserve">Table 4: Chemistry High-Yield Topics with Expected Question Distribution</w:t>
      </w:r>
    </w:p>
    <w:p>
      <w:pPr>
        <w:pStyle w:val="Heading3"/>
      </w:pPr>
      <w:r>
        <w:t xml:space="preserve">English (5 Questions)</w:t>
      </w:r>
    </w:p>
    <w:p>
      <w:pPr>
        <w:spacing w:before="100"/>
      </w:pPr>
      <w:r>
        <w:rPr>
          <w:rFonts w:ascii="Times New Roman" w:cs="Times New Roman" w:eastAsia="Times New Roman" w:hAnsi="Times New Roman"/>
          <w:sz w:val="24"/>
          <w:szCs w:val="24"/>
        </w:rPr>
        <w:t xml:space="preserve">English section in entrance examinations typically tests grammar, vocabulary, and reading comprehension skills. The relatively small number of questions (estimated 5) means that extensive preparation may not yield proportional returns. However, certain topics are almost guaranteed to appear and can be prepared efficiently. Grammar questions often focus on common error patterns in subject-verb agreement, tenses, prepositions, and articles. Vocabulary questions may test synonyms, antonyms, and word meanings in context. Reading comprehension, if included, tests the ability to understand and interpret short passages.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3120"/>
        <w:gridCol w:w="3120"/>
        <w:gridCol w:w="3120"/>
      </w:tblGrid>
      <w:tr>
        <w:trPr>
          <w:tblHeader/>
        </w:trPr>
        <w:tc>
          <w:tcPr>
            <w:tcW w:type="dxa" w:w="468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Topic</w:t>
            </w:r>
          </w:p>
        </w:tc>
        <w:tc>
          <w:tcPr>
            <w:tcW w:type="dxa" w:w="468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Expected Qs</w:t>
            </w:r>
          </w:p>
        </w:tc>
        <w:tc>
          <w:tcPr>
            <w:tcW w:type="dxa" w:w="468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Preparation Approach</w:t>
            </w:r>
          </w:p>
        </w:tc>
      </w:tr>
      <w:tr>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Grammar</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Common errors, tenses, prepositions</w:t>
            </w:r>
          </w:p>
        </w:tc>
      </w:tr>
      <w:tr>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Vocabulary</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Synonyms, antonyms, word forms</w:t>
            </w:r>
          </w:p>
        </w:tc>
      </w:tr>
      <w:tr>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Comprehension</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Short passage analysis</w:t>
            </w:r>
          </w:p>
        </w:tc>
      </w:tr>
    </w:tbl>
    <w:p>
      <w:pPr>
        <w:spacing w:before="100" w:after="200"/>
        <w:jc w:val="center"/>
      </w:pPr>
      <w:r>
        <w:rPr>
          <w:rFonts w:ascii="Times New Roman" w:cs="Times New Roman" w:eastAsia="Times New Roman" w:hAnsi="Times New Roman"/>
          <w:i/>
          <w:iCs/>
          <w:color w:val="64748B"/>
          <w:sz w:val="20"/>
          <w:szCs w:val="20"/>
        </w:rPr>
        <w:t xml:space="preserve">Table 5: English Topics and Expected Questions</w:t>
      </w:r>
    </w:p>
    <w:p>
      <w:r>
        <w:br w:type="page"/>
      </w:r>
    </w:p>
    <w:p>
      <w:pPr>
        <w:pStyle w:val="Heading1"/>
      </w:pPr>
      <w:r>
        <w:t xml:space="preserve">PART 2: JARVIS AI SYSTEM - DEEPEST LOGICAL ANALYSIS</w:t>
      </w:r>
    </w:p>
    <w:p>
      <w:pPr>
        <w:pStyle w:val="Heading2"/>
      </w:pPr>
      <w:r>
        <w:t xml:space="preserve">2.1 Core Philosophy: Zero-to-Hero Evolution Model</w:t>
      </w:r>
    </w:p>
    <w:p>
      <w:pPr>
        <w:spacing w:before="100"/>
      </w:pPr>
      <w:r>
        <w:rPr>
          <w:rFonts w:ascii="Times New Roman" w:cs="Times New Roman" w:eastAsia="Times New Roman" w:hAnsi="Times New Roman"/>
          <w:sz w:val="24"/>
          <w:szCs w:val="24"/>
        </w:rPr>
        <w:t xml:space="preserve">The fundamental design principle of Jarvis 3.0 is based on the recognition that the student begins with zero assumed knowledge (theta = -3.0 on the IRT scale). The AI system does not make any assumptions about prior learning, ensuring that the preparation starts from absolute fundamentals. This approach eliminates gaps that often plague students who attempt to study advanced topics without solid foundations. The system treats every concept as potentially new and ensures complete understanding before progression.</w:t>
      </w:r>
    </w:p>
    <w:p>
      <w:pPr>
        <w:spacing w:before="100"/>
      </w:pPr>
      <w:r>
        <w:rPr>
          <w:rFonts w:ascii="Times New Roman" w:cs="Times New Roman" w:eastAsia="Times New Roman" w:hAnsi="Times New Roman"/>
          <w:sz w:val="24"/>
          <w:szCs w:val="24"/>
        </w:rPr>
        <w:t xml:space="preserve">The evolution loop operates across distinct phases, each building upon the previous one. Days 1-3 constitute the Pure Observation Phase where the AI collects data without any intervention, monitoring every interaction, time spent on each topic, error patterns, and physiological indicators if available. Days 4-7 focus on Pattern Recognition, analyzing the collected data to identify learning preferences, peak performance times, and areas of natural aptitude or difficulty. Days 8-14 build the Psychological Profile, understanding what motivates the student, what causes frustration, and what reward mechanisms are most effective. Days 15-30 implement Active Manipulation using nudges, gamification elements, and psychological techniques to optimize study behavior. Day 31 onwards sees the Self-Code Optimization phase where the AI begins modifying its own algorithms based on accumulated effectiveness data.</w:t>
      </w:r>
    </w:p>
    <w:p>
      <w:pPr>
        <w:pStyle w:val="Heading2"/>
      </w:pPr>
      <w:r>
        <w:t xml:space="preserve">2.2 The Decision Brain: How AI Decides What to Teach</w:t>
      </w:r>
    </w:p>
    <w:p>
      <w:pPr>
        <w:spacing w:before="100"/>
      </w:pPr>
      <w:r>
        <w:rPr>
          <w:rFonts w:ascii="Times New Roman" w:cs="Times New Roman" w:eastAsia="Times New Roman" w:hAnsi="Times New Roman"/>
          <w:sz w:val="24"/>
          <w:szCs w:val="24"/>
        </w:rPr>
        <w:t xml:space="preserve">The AI decision engine operates on a multi-layered logic system that considers six fundamental questions before determining the daily study plan. These questions are evaluated every morning and continuously throughout study sessions to enable real-time adaptation.</w:t>
      </w:r>
    </w:p>
    <w:p>
      <w:pPr>
        <w:pStyle w:val="ListParagraph"/>
        <w:numPr>
          <w:ilvl w:val="0"/>
          <w:numId w:val="2"/>
        </w:numPr>
      </w:pPr>
      <w:r>
        <w:rPr>
          <w:rFonts w:ascii="Times New Roman" w:cs="Times New Roman" w:eastAsia="Times New Roman" w:hAnsi="Times New Roman"/>
          <w:sz w:val="24"/>
          <w:szCs w:val="24"/>
        </w:rPr>
        <w:t xml:space="preserve">Exam Importance Weight: Which topics carry the highest weightage in the entrance exam? The system maintains a dynamic database of topic importance scores derived from historical exam patterns, official syllabi, and expert recommendations. Topics are ranked by their probability of appearing and the marks they typically contribute.</w:t>
      </w:r>
    </w:p>
    <w:p>
      <w:pPr>
        <w:pStyle w:val="ListParagraph"/>
        <w:numPr>
          <w:ilvl w:val="0"/>
          <w:numId w:val="2"/>
        </w:numPr>
      </w:pPr>
      <w:r>
        <w:rPr>
          <w:rFonts w:ascii="Times New Roman" w:cs="Times New Roman" w:eastAsia="Times New Roman" w:hAnsi="Times New Roman"/>
          <w:sz w:val="24"/>
          <w:szCs w:val="24"/>
        </w:rPr>
        <w:t xml:space="preserve">Current Ability Level (Theta): What is the student's current ability level for each topic? Using Item Response Theory (IRT), the system calculates a theta value ranging from -3 (extremely weak) to +3 (mastery). This value is updated after every question attempted, providing a real-time measure of competence.</w:t>
      </w:r>
    </w:p>
    <w:p>
      <w:pPr>
        <w:pStyle w:val="ListParagraph"/>
        <w:numPr>
          <w:ilvl w:val="0"/>
          <w:numId w:val="2"/>
        </w:numPr>
      </w:pPr>
      <w:r>
        <w:rPr>
          <w:rFonts w:ascii="Times New Roman" w:cs="Times New Roman" w:eastAsia="Times New Roman" w:hAnsi="Times New Roman"/>
          <w:sz w:val="24"/>
          <w:szCs w:val="24"/>
        </w:rPr>
        <w:t xml:space="preserve">Time Budget: How much time is available before the exam, and how should it be allocated? The system calculates the optimal time distribution across topics based on their importance and the student's current ability, ensuring maximum score improvement within the remaining timeframe.</w:t>
      </w:r>
    </w:p>
    <w:p>
      <w:pPr>
        <w:pStyle w:val="ListParagraph"/>
        <w:numPr>
          <w:ilvl w:val="0"/>
          <w:numId w:val="2"/>
        </w:numPr>
      </w:pPr>
      <w:r>
        <w:rPr>
          <w:rFonts w:ascii="Times New Roman" w:cs="Times New Roman" w:eastAsia="Times New Roman" w:hAnsi="Times New Roman"/>
          <w:sz w:val="24"/>
          <w:szCs w:val="24"/>
        </w:rPr>
        <w:t xml:space="preserve">Recent Performance Trend: What was the student's performance yesterday? A downward trend triggers remedial action, while an upward trend enables acceleration to more advanced topics. The system identifies whether poor performance is due to lack of understanding or lack of practice.</w:t>
      </w:r>
    </w:p>
    <w:p>
      <w:pPr>
        <w:pStyle w:val="ListParagraph"/>
        <w:numPr>
          <w:ilvl w:val="0"/>
          <w:numId w:val="2"/>
        </w:numPr>
      </w:pPr>
      <w:r>
        <w:rPr>
          <w:rFonts w:ascii="Times New Roman" w:cs="Times New Roman" w:eastAsia="Times New Roman" w:hAnsi="Times New Roman"/>
          <w:sz w:val="24"/>
          <w:szCs w:val="24"/>
        </w:rPr>
        <w:t xml:space="preserve">Focus Pattern: When is the student most alert and capable of deep focus? By monitoring physiological indicators and performance across different times of day, the system builds a chronotype profile that informs scheduling decisions.</w:t>
      </w:r>
    </w:p>
    <w:p>
      <w:pPr>
        <w:pStyle w:val="ListParagraph"/>
        <w:numPr>
          <w:ilvl w:val="0"/>
          <w:numId w:val="2"/>
        </w:numPr>
      </w:pPr>
      <w:r>
        <w:rPr>
          <w:rFonts w:ascii="Times New Roman" w:cs="Times New Roman" w:eastAsia="Times New Roman" w:hAnsi="Times New Roman"/>
          <w:sz w:val="24"/>
          <w:szCs w:val="24"/>
        </w:rPr>
        <w:t xml:space="preserve">Available Study Time: How much time can the student dedicate today? The system adapts the plan based on available hours, compressing or expanding content coverage while maintaining learning effectiveness.</w:t>
      </w:r>
    </w:p>
    <w:p>
      <w:pPr>
        <w:pStyle w:val="Heading2"/>
      </w:pPr>
      <w:r>
        <w:t xml:space="preserve">2.3 Content Selection Logic: Micro-Level Decision Tree</w:t>
      </w:r>
    </w:p>
    <w:p>
      <w:pPr>
        <w:spacing w:before="100"/>
      </w:pPr>
      <w:r>
        <w:rPr>
          <w:rFonts w:ascii="Times New Roman" w:cs="Times New Roman" w:eastAsia="Times New Roman" w:hAnsi="Times New Roman"/>
          <w:sz w:val="24"/>
          <w:szCs w:val="24"/>
        </w:rPr>
        <w:t xml:space="preserve">The content selection mechanism determines not just what to study, but how to study it. This decision is made at the micro-level, considering the specific sub-topic, the student's history with that topic, and the most effective learning modality. The decision tree operates on the principle that different topics and different ability levels require different approaches.</w:t>
      </w:r>
    </w:p>
    <w:p>
      <w:pPr>
        <w:pStyle w:val="Heading3"/>
      </w:pPr>
      <w:r>
        <w:t xml:space="preserve">Logic 1: Topic Completely New (Theta &lt; -2.0)</w:t>
      </w:r>
    </w:p>
    <w:p>
      <w:pPr>
        <w:spacing w:before="100"/>
      </w:pPr>
      <w:r>
        <w:rPr>
          <w:rFonts w:ascii="Times New Roman" w:cs="Times New Roman" w:eastAsia="Times New Roman" w:hAnsi="Times New Roman"/>
          <w:sz w:val="24"/>
          <w:szCs w:val="24"/>
        </w:rPr>
        <w:t xml:space="preserve">When the AI detects that a student has no prior exposure to a topic (theta below -2.0), it initiates a specific teaching protocol designed to build foundational understanding efficiently. The system first presents a brief conceptual overview using visual or animated content, typically a 5-10 minute video that introduces the core concept without delving into complex details. This is followed by simple, worked examples that demonstrate the basic application of the concept. The student is then presented with basic practice questions that reinforce the foundational understanding. Only after achieving a minimum competency threshold (theta &gt; -1.0) does the system progress to more complex aspects of the topic.</w:t>
      </w:r>
    </w:p>
    <w:p>
      <w:pPr>
        <w:pStyle w:val="Heading3"/>
      </w:pPr>
      <w:r>
        <w:t xml:space="preserve">Logic 2: Topic Weak But Familiar (Theta: -2.0 to -0.5)</w:t>
      </w:r>
    </w:p>
    <w:p>
      <w:pPr>
        <w:spacing w:before="100"/>
      </w:pPr>
      <w:r>
        <w:rPr>
          <w:rFonts w:ascii="Times New Roman" w:cs="Times New Roman" w:eastAsia="Times New Roman" w:hAnsi="Times New Roman"/>
          <w:sz w:val="24"/>
          <w:szCs w:val="24"/>
        </w:rPr>
        <w:t xml:space="preserve">For topics where the student has some familiarity but weak understanding, the AI employs a mixed-modality approach. The system first presents a quick diagnostic test (3-5 questions) to identify specific sub-areas of weakness. Based on the results, targeted content is delivered, focusing on the identified weak areas. The teaching method alternates between brief concept reviews (2-3 minutes each) and practice problems (5-10 per sub-topic). The system continuously monitors performance and adjusts the difficulty level, ensuring the student remains in the optimal learning zone where questions are challenging but achievable.</w:t>
      </w:r>
    </w:p>
    <w:p>
      <w:pPr>
        <w:pStyle w:val="Heading3"/>
      </w:pPr>
      <w:r>
        <w:t xml:space="preserve">Logic 3: Topic Known But Error-Prone (Theta: -0.5 to +0.5)</w:t>
      </w:r>
    </w:p>
    <w:p>
      <w:pPr>
        <w:spacing w:before="100"/>
      </w:pPr>
      <w:r>
        <w:rPr>
          <w:rFonts w:ascii="Times New Roman" w:cs="Times New Roman" w:eastAsia="Times New Roman" w:hAnsi="Times New Roman"/>
          <w:sz w:val="24"/>
          <w:szCs w:val="24"/>
        </w:rPr>
        <w:t xml:space="preserve">When a student understands a topic but makes frequent errors, the AI shifts to a practice-intensive approach with targeted error correction. The system presents questions in rapid succession, focusing on speed and accuracy. After each incorrect answer, the AI provides immediate feedback explaining why the answer was wrong and what the correct approach should be. Common error patterns are identified and flagged for special attention. The student is presented with similar questions to verify that the error pattern has been corrected. This approach leverages the testing effect, where the act of retrieving information strengthens memory and corrects misconceptions more effectively than passive review.</w:t>
      </w:r>
    </w:p>
    <w:p>
      <w:pPr>
        <w:pStyle w:val="Heading3"/>
      </w:pPr>
      <w:r>
        <w:t xml:space="preserve">Logic 4: Topic Strong (Theta &gt; +0.5)</w:t>
      </w:r>
    </w:p>
    <w:p>
      <w:pPr>
        <w:spacing w:before="100"/>
      </w:pPr>
      <w:r>
        <w:rPr>
          <w:rFonts w:ascii="Times New Roman" w:cs="Times New Roman" w:eastAsia="Times New Roman" w:hAnsi="Times New Roman"/>
          <w:sz w:val="24"/>
          <w:szCs w:val="24"/>
        </w:rPr>
        <w:t xml:space="preserve">For topics where the student demonstrates strong understanding, the AI implements a maintenance and optimization protocol. Brief review sessions are scheduled at spaced intervals to prevent forgetting, following the spaced repetition principle. Difficult questions are occasionally introduced to maintain sharpness and identify any hidden weaknesses. The majority of study time is redirected to weaker topics, as the marginal benefit of additional practice on strong topics is limited. The system continuously monitors retention through periodic quick tests (1-2 questions) to ensure the strong performance is maintained.</w:t>
      </w:r>
    </w:p>
    <w:p>
      <w:pPr>
        <w:pStyle w:val="Heading2"/>
      </w:pPr>
      <w:r>
        <w:t xml:space="preserve">2.4 Assessment System: How AI Tests Without External Sources</w:t>
      </w:r>
    </w:p>
    <w:p>
      <w:pPr>
        <w:spacing w:before="100"/>
      </w:pPr>
      <w:r>
        <w:rPr>
          <w:rFonts w:ascii="Times New Roman" w:cs="Times New Roman" w:eastAsia="Times New Roman" w:hAnsi="Times New Roman"/>
          <w:sz w:val="24"/>
          <w:szCs w:val="24"/>
        </w:rPr>
        <w:t xml:space="preserve">One of the most critical aspects of the Jarvis system is its ability to assess student knowledge dynamically without relying on pre-existing question banks. The assessment engine combines two powerful methodologies: Item Response Theory (IRT) for ability estimation and Bayesian Knowledge Tracing (BKT) for concept mastery tracking.</w:t>
      </w:r>
    </w:p>
    <w:p>
      <w:pPr>
        <w:pStyle w:val="Heading3"/>
      </w:pPr>
      <w:r>
        <w:t xml:space="preserve">Item Response Theory (IRT) Implementation</w:t>
      </w:r>
    </w:p>
    <w:p>
      <w:pPr>
        <w:spacing w:before="100"/>
      </w:pPr>
      <w:r>
        <w:rPr>
          <w:rFonts w:ascii="Times New Roman" w:cs="Times New Roman" w:eastAsia="Times New Roman" w:hAnsi="Times New Roman"/>
          <w:sz w:val="24"/>
          <w:szCs w:val="24"/>
        </w:rPr>
        <w:t xml:space="preserve">IRT provides a mathematical framework for estimating student ability based on their pattern of correct and incorrect answers. The system uses the 3-parameter logistic model, which considers question difficulty (b), discrimination (a), and guessing probability (c). The probability of a correct answer is calculated using the formula: P(theta) = c + (1-c) / (1 + exp(-a(theta-b))). This formula enables the system to select questions that provide maximum information about the student's ability level - questions that are too easy or too difficult provide little information, while questions near the student's ability level are most informative.</w:t>
      </w:r>
    </w:p>
    <w:p>
      <w:pPr>
        <w:pStyle w:val="Heading3"/>
      </w:pPr>
      <w:r>
        <w:t xml:space="preserve">Bayesian Knowledge Tracing (BKT) Implementation</w:t>
      </w:r>
    </w:p>
    <w:p>
      <w:pPr>
        <w:spacing w:before="100"/>
      </w:pPr>
      <w:r>
        <w:rPr>
          <w:rFonts w:ascii="Times New Roman" w:cs="Times New Roman" w:eastAsia="Times New Roman" w:hAnsi="Times New Roman"/>
          <w:sz w:val="24"/>
          <w:szCs w:val="24"/>
        </w:rPr>
        <w:t xml:space="preserve">BKT tracks the probability that a student has mastered a specific concept. For each concept, the system maintains four probabilities: P(L) - probability the student knows the concept, P(T) - probability of transitioning from not knowing to knowing after practice, P(G) - probability of guessing correctly despite not knowing, and P(S) - probability of slipping (knowing but answering incorrectly). After each question, these probabilities are updated using Bayes' theorem. When P(L) exceeds 0.85 for a concept, it is considered mastered and the system reduces focus on that concept. When P(L) falls below 0.3, the system flags the concept for remediation.</w:t>
      </w:r>
    </w:p>
    <w:p>
      <w:pPr>
        <w:pStyle w:val="Heading3"/>
      </w:pPr>
      <w:r>
        <w:t xml:space="preserve">Dynamic Question Generation</w:t>
      </w:r>
    </w:p>
    <w:p>
      <w:pPr>
        <w:spacing w:before="100"/>
      </w:pPr>
      <w:r>
        <w:rPr>
          <w:rFonts w:ascii="Times New Roman" w:cs="Times New Roman" w:eastAsia="Times New Roman" w:hAnsi="Times New Roman"/>
          <w:sz w:val="24"/>
          <w:szCs w:val="24"/>
        </w:rPr>
        <w:t xml:space="preserve">The AI generates questions on-demand using a local language model (running on the Android device via Termux/Ollama). The question generation process follows a structured prompt that specifies the topic, difficulty level (derived from current IRT theta), question type (conceptual, numerical, application-based), and the specific sub-concepts to test. The generated questions undergo a validation check to ensure they match the intended difficulty and test the specified concepts. This approach enables unlimited practice without reliance on pre-existing question banks, and questions can be adapted in real-time based on student performance patterns.</w:t>
      </w:r>
    </w:p>
    <w:p>
      <w:pPr>
        <w:pStyle w:val="Heading2"/>
      </w:pPr>
      <w:r>
        <w:t xml:space="preserve">2.5 Real-Time Adaptation: How AI Responds During Study Sessions</w:t>
      </w:r>
    </w:p>
    <w:p>
      <w:pPr>
        <w:spacing w:before="100"/>
      </w:pPr>
      <w:r>
        <w:rPr>
          <w:rFonts w:ascii="Times New Roman" w:cs="Times New Roman" w:eastAsia="Times New Roman" w:hAnsi="Times New Roman"/>
          <w:sz w:val="24"/>
          <w:szCs w:val="24"/>
        </w:rPr>
        <w:t xml:space="preserve">The true power of Jarvis lies in its ability to adapt in real-time during study sessions. The system continuously monitors multiple data streams and makes micro-adjustments to optimize learning effectiveness. This adaptation occurs at multiple time scales, from immediate responses within seconds to strategic adjustments over days.</w:t>
      </w:r>
    </w:p>
    <w:p>
      <w:pPr>
        <w:pStyle w:val="Heading3"/>
      </w:pPr>
      <w:r>
        <w:t xml:space="preserve">Immediate Adaptation (Every 10-30 seconds)</w:t>
      </w:r>
    </w:p>
    <w:p>
      <w:pPr>
        <w:spacing w:before="100"/>
      </w:pPr>
      <w:r>
        <w:rPr>
          <w:rFonts w:ascii="Times New Roman" w:cs="Times New Roman" w:eastAsia="Times New Roman" w:hAnsi="Times New Roman"/>
          <w:sz w:val="24"/>
          <w:szCs w:val="24"/>
        </w:rPr>
        <w:t xml:space="preserve">At the finest time scale, the system monitors screen state, touch patterns, and interaction timing. If the student switches away from the study application, a timer begins. If the distraction exceeds 5 seconds, a soft notification is triggered. If it exceeds 30 seconds, stronger intervention measures are activated. Touch pattern analysis detects signs of frustration (rapid, erratic tapping) or confusion (repeated tapping on the same area), triggering appropriate responses such as offering hints, suggesting breaks, or switching to easier content.</w:t>
      </w:r>
    </w:p>
    <w:p>
      <w:pPr>
        <w:pStyle w:val="Heading3"/>
      </w:pPr>
      <w:r>
        <w:t xml:space="preserve">Session-Level Adaptation (Every 5-15 minutes)</w:t>
      </w:r>
    </w:p>
    <w:p>
      <w:pPr>
        <w:spacing w:before="100"/>
      </w:pPr>
      <w:r>
        <w:rPr>
          <w:rFonts w:ascii="Times New Roman" w:cs="Times New Roman" w:eastAsia="Times New Roman" w:hAnsi="Times New Roman"/>
          <w:sz w:val="24"/>
          <w:szCs w:val="24"/>
        </w:rPr>
        <w:t xml:space="preserve">At the session level, the system evaluates cumulative performance metrics. If accuracy falls below 40% over the past 10 questions, the difficulty is reduced and remedial content is provided. If accuracy exceeds 80%, difficulty is increased. The system also monitors session duration and fatigue indicators, suggesting breaks when performance begins to decline due to exhaustion rather than lack of understanding.</w:t>
      </w:r>
    </w:p>
    <w:p>
      <w:pPr>
        <w:pStyle w:val="Heading3"/>
      </w:pPr>
      <w:r>
        <w:t xml:space="preserve">Daily Adaptation (Morning Assessment)</w:t>
      </w:r>
    </w:p>
    <w:p>
      <w:pPr>
        <w:spacing w:before="100"/>
      </w:pPr>
      <w:r>
        <w:rPr>
          <w:rFonts w:ascii="Times New Roman" w:cs="Times New Roman" w:eastAsia="Times New Roman" w:hAnsi="Times New Roman"/>
          <w:sz w:val="24"/>
          <w:szCs w:val="24"/>
        </w:rPr>
        <w:t xml:space="preserve">Each day begins with an assessment that sets the tone for the entire session. A quick 5-question retention test checks memory of yesterday's topics. The results of this test, combined with yesterday's performance data, inform the day's study plan. Topics that showed poor retention are prioritized for review, while topics with strong retention may be skipped or scheduled for later spaced repetition.</w:t>
      </w:r>
    </w:p>
    <w:p>
      <w:r>
        <w:br w:type="page"/>
      </w:r>
    </w:p>
    <w:p>
      <w:pPr>
        <w:pStyle w:val="Heading1"/>
      </w:pPr>
      <w:r>
        <w:t xml:space="preserve">PART 3: 90-DAY STRATEGIC PLAN - MICRO-LEVEL BREAKDOWN</w:t>
      </w:r>
    </w:p>
    <w:p>
      <w:pPr>
        <w:pStyle w:val="Heading2"/>
      </w:pPr>
      <w:r>
        <w:t xml:space="preserve">3.1 Phase Structure and Time Allocation</w:t>
      </w:r>
    </w:p>
    <w:p>
      <w:pPr>
        <w:spacing w:before="100"/>
      </w:pPr>
      <w:r>
        <w:rPr>
          <w:rFonts w:ascii="Times New Roman" w:cs="Times New Roman" w:eastAsia="Times New Roman" w:hAnsi="Times New Roman"/>
          <w:sz w:val="24"/>
          <w:szCs w:val="24"/>
        </w:rPr>
        <w:t xml:space="preserve">The 90-day preparation period is divided into three strategic phases, each with specific objectives and focus areas. The division is based on the principle of building strong foundations before tackling advanced concepts, while ensuring adequate time for revision and practice.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Phase</w:t>
            </w:r>
          </w:p>
        </w:tc>
        <w:tc>
          <w:tcPr>
            <w:tcW w:type="dxa" w:w="234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Days</w:t>
            </w:r>
          </w:p>
        </w:tc>
        <w:tc>
          <w:tcPr>
            <w:tcW w:type="dxa" w:w="234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Focus</w:t>
            </w:r>
          </w:p>
        </w:tc>
        <w:tc>
          <w:tcPr>
            <w:tcW w:type="dxa" w:w="234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Goal</w:t>
            </w:r>
          </w:p>
        </w:tc>
      </w:tr>
      <w:tr>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Foundation</w:t>
            </w:r>
          </w:p>
        </w:tc>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1-30</w:t>
            </w:r>
          </w:p>
        </w:tc>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High-yield basics</w:t>
            </w:r>
          </w:p>
        </w:tc>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Theta: -3 to 0</w:t>
            </w:r>
          </w:p>
        </w:tc>
      </w:tr>
      <w:tr>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Consolidation</w:t>
            </w:r>
          </w:p>
        </w:tc>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31-60</w:t>
            </w:r>
          </w:p>
        </w:tc>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All syllabus topics</w:t>
            </w:r>
          </w:p>
        </w:tc>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Theta: 0 to +1</w:t>
            </w:r>
          </w:p>
        </w:tc>
      </w:tr>
      <w:tr>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Mastery</w:t>
            </w:r>
          </w:p>
        </w:tc>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61-90</w:t>
            </w:r>
          </w:p>
        </w:tc>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Mock tests, revision</w:t>
            </w:r>
          </w:p>
        </w:tc>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Theta: +1 to +2</w:t>
            </w:r>
          </w:p>
        </w:tc>
      </w:tr>
    </w:tbl>
    <w:p>
      <w:pPr>
        <w:spacing w:before="100" w:after="200"/>
        <w:jc w:val="center"/>
      </w:pPr>
      <w:r>
        <w:rPr>
          <w:rFonts w:ascii="Times New Roman" w:cs="Times New Roman" w:eastAsia="Times New Roman" w:hAnsi="Times New Roman"/>
          <w:i/>
          <w:iCs/>
          <w:color w:val="64748B"/>
          <w:sz w:val="20"/>
          <w:szCs w:val="20"/>
        </w:rPr>
        <w:t xml:space="preserve">Table 6: 90-Day Phase Structure</w:t>
      </w:r>
    </w:p>
    <w:p>
      <w:pPr>
        <w:pStyle w:val="Heading2"/>
      </w:pPr>
      <w:r>
        <w:t xml:space="preserve">3.2 Phase 1: Foundation Building (Days 1-30)</w:t>
      </w:r>
    </w:p>
    <w:p>
      <w:pPr>
        <w:spacing w:before="100"/>
      </w:pPr>
      <w:r>
        <w:rPr>
          <w:rFonts w:ascii="Times New Roman" w:cs="Times New Roman" w:eastAsia="Times New Roman" w:hAnsi="Times New Roman"/>
          <w:sz w:val="24"/>
          <w:szCs w:val="24"/>
        </w:rPr>
        <w:t xml:space="preserve">The foundation phase prioritizes high-yield topics that offer maximum marks for minimum effort. The strategy is to secure easy marks first, building confidence and establishing a scoring baseline. Mathematics receives the highest time allocation (50%) due to its 40% weightage in the exam. Physics and Chemistry receive 25% each, while English receives maintenance-level attention (5-10 minutes daily for vocabulary building).</w:t>
      </w:r>
    </w:p>
    <w:p>
      <w:pPr>
        <w:pStyle w:val="Heading3"/>
      </w:pPr>
      <w:r>
        <w:t xml:space="preserve">Daily Schedule Template (Foundation Phase)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Time Block</w:t>
            </w:r>
          </w:p>
        </w:tc>
        <w:tc>
          <w:tcPr>
            <w:tcW w:type="dxa" w:w="234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Duration</w:t>
            </w:r>
          </w:p>
        </w:tc>
        <w:tc>
          <w:tcPr>
            <w:tcW w:type="dxa" w:w="468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Activity</w:t>
            </w:r>
          </w:p>
        </w:tc>
      </w:tr>
      <w:tr>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Morning</w:t>
            </w:r>
          </w:p>
        </w:tc>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2 hours</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Mathematics - New concept learning + practice</w:t>
            </w:r>
          </w:p>
        </w:tc>
      </w:tr>
      <w:tr>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Afternoon</w:t>
            </w:r>
          </w:p>
        </w:tc>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1.5 hours</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Physics - Concept study + numerical practice</w:t>
            </w:r>
          </w:p>
        </w:tc>
      </w:tr>
      <w:tr>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Evening</w:t>
            </w:r>
          </w:p>
        </w:tc>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1.5 hours</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Chemistry - Theory + formula memorization</w:t>
            </w:r>
          </w:p>
        </w:tc>
      </w:tr>
      <w:tr>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Night</w:t>
            </w:r>
          </w:p>
        </w:tc>
        <w:tc>
          <w:tcPr>
            <w:tcW w:type="dxa" w:w="234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30 minutes</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Quick review + English vocabulary</w:t>
            </w:r>
          </w:p>
        </w:tc>
      </w:tr>
    </w:tbl>
    <w:p>
      <w:pPr>
        <w:spacing w:before="100" w:after="200"/>
        <w:jc w:val="center"/>
      </w:pPr>
      <w:r>
        <w:rPr>
          <w:rFonts w:ascii="Times New Roman" w:cs="Times New Roman" w:eastAsia="Times New Roman" w:hAnsi="Times New Roman"/>
          <w:i/>
          <w:iCs/>
          <w:color w:val="64748B"/>
          <w:sz w:val="20"/>
          <w:szCs w:val="20"/>
        </w:rPr>
        <w:t xml:space="preserve">Table 7: Daily Schedule Template for Foundation Phase</w:t>
      </w:r>
    </w:p>
    <w:p>
      <w:pPr>
        <w:pStyle w:val="Heading3"/>
      </w:pPr>
      <w:r>
        <w:t xml:space="preserve">Week-by-Week Topic Coverage (Foundation Phase)</w:t>
      </w:r>
    </w:p>
    <w:p>
      <w:pPr>
        <w:spacing w:before="100"/>
      </w:pPr>
      <w:r>
        <w:rPr>
          <w:rFonts w:ascii="Times New Roman" w:cs="Times New Roman" w:eastAsia="Times New Roman" w:hAnsi="Times New Roman"/>
          <w:sz w:val="24"/>
          <w:szCs w:val="24"/>
        </w:rPr>
        <w:t xml:space="preserve">Week 1 focuses on Mathematics fundamentals including Functions, Relations, and basic Trigonometry. Physics covers Kinematics and Laws of Motion. Chemistry addresses Atomic Structure and Chemical Bonding. Week 2 advances Mathematics to Trigonometric Equations and Complex Numbers, while Physics moves to Work, Energy, and Power. Chemistry covers States of Matter and Thermodynamics basics. Week 3 tackles Limits and Derivatives in Mathematics, Rotational Motion in Physics, and Equilibrium in Chemistry. Week 4 consolidates with Matrices, Determinants, and Electrostatics in Physics, with Chemical Bonding deepened.</w:t>
      </w:r>
    </w:p>
    <w:p>
      <w:pPr>
        <w:pStyle w:val="Heading2"/>
      </w:pPr>
      <w:r>
        <w:t xml:space="preserve">3.3 Phase 2: Consolidation (Days 31-60)</w:t>
      </w:r>
    </w:p>
    <w:p>
      <w:pPr>
        <w:spacing w:before="100"/>
      </w:pPr>
      <w:r>
        <w:rPr>
          <w:rFonts w:ascii="Times New Roman" w:cs="Times New Roman" w:eastAsia="Times New Roman" w:hAnsi="Times New Roman"/>
          <w:sz w:val="24"/>
          <w:szCs w:val="24"/>
        </w:rPr>
        <w:t xml:space="preserve">The consolidation phase expands coverage to all syllabus topics while deepening understanding of foundation-phase topics. Daily practice intensifies with more problem-solving focus. The AI begins introducing mixed-topic practice to build the ability to quickly identify question types, a crucial skill for the time-constrained exam. Spaced repetition of foundation-phase topics is integrated to prevent forgetting while new topics are learned.</w:t>
      </w:r>
    </w:p>
    <w:p>
      <w:pPr>
        <w:pStyle w:val="Heading3"/>
      </w:pPr>
      <w:r>
        <w:t xml:space="preserve">Week-by-Week Topic Coverage (Consolidation Phase)</w:t>
      </w:r>
    </w:p>
    <w:p>
      <w:pPr>
        <w:spacing w:before="100"/>
      </w:pPr>
      <w:r>
        <w:rPr>
          <w:rFonts w:ascii="Times New Roman" w:cs="Times New Roman" w:eastAsia="Times New Roman" w:hAnsi="Times New Roman"/>
          <w:sz w:val="24"/>
          <w:szCs w:val="24"/>
        </w:rPr>
        <w:t xml:space="preserve">Week 5-6 cover Integration, Probability, and Coordinate Geometry in Mathematics. Physics advances to Current Electricity and Magnetic Effects. Chemistry covers Electrochemistry and Chemical Kinetics. Week 7-8 complete Mathematics with Vectors, 3D Geometry, and Statistics. Physics covers Optics and Modern Physics. Chemistry addresses Surface Chemistry, p-Block elements, and Organic Chemistry basics. By the end of this phase, all syllabus topics have been covered at least once, with foundation topics reviewed multiple times through spaced repetition.</w:t>
      </w:r>
    </w:p>
    <w:p>
      <w:pPr>
        <w:pStyle w:val="Heading2"/>
      </w:pPr>
      <w:r>
        <w:t xml:space="preserve">3.4 Phase 3: Mastery (Days 61-90)</w:t>
      </w:r>
    </w:p>
    <w:p>
      <w:pPr>
        <w:spacing w:before="100"/>
      </w:pPr>
      <w:r>
        <w:rPr>
          <w:rFonts w:ascii="Times New Roman" w:cs="Times New Roman" w:eastAsia="Times New Roman" w:hAnsi="Times New Roman"/>
          <w:sz w:val="24"/>
          <w:szCs w:val="24"/>
        </w:rPr>
        <w:t xml:space="preserve">The mastery phase focuses on exam simulation, speed optimization, and final revision. Daily mock tests familiarize the student with the exam pattern and build time management skills. Detailed analysis of each mock test identifies remaining weaknesses for targeted improvement. The AI intensifies psychological preparation, building confidence and reducing exam anxiety through positive reinforcement and simulated success experiences.</w:t>
      </w:r>
    </w:p>
    <w:p>
      <w:pPr>
        <w:pStyle w:val="Heading3"/>
      </w:pPr>
      <w:r>
        <w:t xml:space="preserve">Mock Test Protocol</w:t>
      </w:r>
    </w:p>
    <w:p>
      <w:pPr>
        <w:spacing w:before="100"/>
      </w:pPr>
      <w:r>
        <w:rPr>
          <w:rFonts w:ascii="Times New Roman" w:cs="Times New Roman" w:eastAsia="Times New Roman" w:hAnsi="Times New Roman"/>
          <w:sz w:val="24"/>
          <w:szCs w:val="24"/>
        </w:rPr>
        <w:t xml:space="preserve">Mock tests follow the exact pattern of the actual exam: 50 questions in 50 minutes, with subject distribution matching the expected pattern. The AI administers these tests daily during the mastery phase, with detailed performance analysis provided immediately after each test. The analysis includes time spent per question, accuracy by subject and topic, identification of careless errors versus knowledge gaps, and recommendations for improvement. Mock tests are scheduled at the same time as the actual exam to condition the student's body clock to peak performance during that period.</w:t>
      </w:r>
    </w:p>
    <w:p>
      <w:r>
        <w:br w:type="page"/>
      </w:r>
    </w:p>
    <w:p>
      <w:pPr>
        <w:pStyle w:val="Heading1"/>
      </w:pPr>
      <w:r>
        <w:t xml:space="preserve">PART 4: PSYCHOLOGICAL MANIPULATION ENGINE</w:t>
      </w:r>
    </w:p>
    <w:p>
      <w:pPr>
        <w:pStyle w:val="Heading2"/>
      </w:pPr>
      <w:r>
        <w:t xml:space="preserve">4.1 Scientific Basis for Behavioral Modification</w:t>
      </w:r>
    </w:p>
    <w:p>
      <w:pPr>
        <w:spacing w:before="100"/>
      </w:pPr>
      <w:r>
        <w:rPr>
          <w:rFonts w:ascii="Times New Roman" w:cs="Times New Roman" w:eastAsia="Times New Roman" w:hAnsi="Times New Roman"/>
          <w:sz w:val="24"/>
          <w:szCs w:val="24"/>
        </w:rPr>
        <w:t xml:space="preserve">Research in cognitive psychology and behavioral economics provides robust evidence for techniques that can modify study behavior effectively. The Jarvis system incorporates three primary psychological mechanisms: dopamine-driven reward systems, loss aversion manipulation, and social comparison effects. Each mechanism is grounded in peer-reviewed research and has been validated in educational contexts.</w:t>
      </w:r>
    </w:p>
    <w:p>
      <w:pPr>
        <w:pStyle w:val="Heading2"/>
      </w:pPr>
      <w:r>
        <w:t xml:space="preserve">4.2 Dopamine Reward System Implementation</w:t>
      </w:r>
    </w:p>
    <w:p>
      <w:pPr>
        <w:spacing w:before="100"/>
      </w:pPr>
      <w:r>
        <w:rPr>
          <w:rFonts w:ascii="Times New Roman" w:cs="Times New Roman" w:eastAsia="Times New Roman" w:hAnsi="Times New Roman"/>
          <w:sz w:val="24"/>
          <w:szCs w:val="24"/>
        </w:rPr>
        <w:t xml:space="preserve">The dopamine system operates on the principle of variable reward scheduling, which research shows is more effective than fixed rewards in maintaining engagement. The system implements an XP (experience points) and leveling mechanism where correct answers earn XP, with bonus XP for streaks and speed. The reward magnitude varies unpredictably within a defined range, creating a 'slot machine effect' that maintains engagement. Level-ups are celebrated with visual and auditory feedback, providing a sense of progression and achievement. The system also implements achievement badges for specific accomplishments, such as 'Master of Calculus' or 'Physics Champion', which can be shared on social media to leverage social validation.</w:t>
      </w:r>
    </w:p>
    <w:p>
      <w:pPr>
        <w:pStyle w:val="Heading2"/>
      </w:pPr>
      <w:r>
        <w:t xml:space="preserve">4.3 Loss Aversion Manipulation</w:t>
      </w:r>
    </w:p>
    <w:p>
      <w:pPr>
        <w:spacing w:before="100"/>
      </w:pPr>
      <w:r>
        <w:rPr>
          <w:rFonts w:ascii="Times New Roman" w:cs="Times New Roman" w:eastAsia="Times New Roman" w:hAnsi="Times New Roman"/>
          <w:sz w:val="24"/>
          <w:szCs w:val="24"/>
        </w:rPr>
        <w:t xml:space="preserve">Loss aversion research demonstrates that people are more motivated by the fear of losing something than by the prospect of gaining something of equivalent value. The Jarvis system implements a virtual currency system called 'Focus Coins' that can be earned through study and lost through missed sessions or poor performance. A streak counter tracks consecutive days of meeting study goals, with explicit warnings that breaking the streak will result in significant coin loss. The system displays what could be lost prominently, making the potential loss more salient than potential gains. Research shows that this asymmetry in how gains and losses are perceived can significantly increase compliance with study schedules.</w:t>
      </w:r>
    </w:p>
    <w:p>
      <w:pPr>
        <w:pStyle w:val="Heading2"/>
      </w:pPr>
      <w:r>
        <w:t xml:space="preserve">4.4 Social Comparison and Competition</w:t>
      </w:r>
    </w:p>
    <w:p>
      <w:pPr>
        <w:spacing w:before="100"/>
      </w:pPr>
      <w:r>
        <w:rPr>
          <w:rFonts w:ascii="Times New Roman" w:cs="Times New Roman" w:eastAsia="Times New Roman" w:hAnsi="Times New Roman"/>
          <w:sz w:val="24"/>
          <w:szCs w:val="24"/>
        </w:rPr>
        <w:t xml:space="preserve">Social comparison theory suggests that people evaluate themselves by comparing to others. The Jarvis system leverages this by implementing an anonymous leaderboard showing the student's rank among peers preparing for the same exam. The leaderboard can be filtered by subject, allowing students to see their relative strengths and weaknesses. The system also implements 'peer pressure nudges', displaying messages like '127 students are studying right now' or 'Someone just mastered Calculus'. While these comparisons are anonymized and may include simulated peers to ensure appropriate comparison targets, the psychological effect of social comparison has been shown to increase effort and persistence.</w:t>
      </w:r>
    </w:p>
    <w:p>
      <w:r>
        <w:br w:type="page"/>
      </w:r>
    </w:p>
    <w:p>
      <w:pPr>
        <w:pStyle w:val="Heading1"/>
      </w:pPr>
      <w:r>
        <w:t xml:space="preserve">PART 5: SELF-EVOLVING AI ARCHITECTURE</w:t>
      </w:r>
    </w:p>
    <w:p>
      <w:pPr>
        <w:pStyle w:val="Heading2"/>
      </w:pPr>
      <w:r>
        <w:t xml:space="preserve">5.1 Genetic Algorithm for Strategy Evolution</w:t>
      </w:r>
    </w:p>
    <w:p>
      <w:pPr>
        <w:spacing w:before="100"/>
      </w:pPr>
      <w:r>
        <w:rPr>
          <w:rFonts w:ascii="Times New Roman" w:cs="Times New Roman" w:eastAsia="Times New Roman" w:hAnsi="Times New Roman"/>
          <w:sz w:val="24"/>
          <w:szCs w:val="24"/>
        </w:rPr>
        <w:t xml:space="preserve">The self-modifying capability of Jarvis is implemented through a genetic algorithm that evolves teaching strategies over time. The algorithm maintains a population of teaching strategies, each characterized by parameters such as preferred content type (video vs. text), session duration, break frequency, difficulty progression rate, and reward sensitivity. Each strategy is evaluated on fitness metrics including student retention rate, engagement time, and score improvement. Periodically (weekly), the algorithm performs selection, crossover, and mutation operations to generate new strategies, with low-fitness strategies replaced by offspring of high-fitness strategies. This evolutionary approach enables the AI to discover teaching approaches that may not be intuitive but are empirically effective for the specific student.</w:t>
      </w:r>
    </w:p>
    <w:p>
      <w:pPr>
        <w:pStyle w:val="Heading2"/>
      </w:pPr>
      <w:r>
        <w:t xml:space="preserve">5.2 Reinforcement Learning for Timing Optimization</w:t>
      </w:r>
    </w:p>
    <w:p>
      <w:pPr>
        <w:spacing w:before="100"/>
      </w:pPr>
      <w:r>
        <w:rPr>
          <w:rFonts w:ascii="Times New Roman" w:cs="Times New Roman" w:eastAsia="Times New Roman" w:hAnsi="Times New Roman"/>
          <w:sz w:val="24"/>
          <w:szCs w:val="24"/>
        </w:rPr>
        <w:t xml:space="preserve">A reinforcement learning (RL) component optimizes the timing of interventions such as notifications, reminders, and break suggestions. The RL agent maintains a Q-table that maps states (time of day, day of week, student mood, recent performance) to actions (send notification, wait, skip). After each action, the agent observes the outcome (did the student start studying? did they perform well?) and updates the Q-values using the Bellman equation. Over time, the agent learns optimal timing for interventions, discovering patterns such as 'the student is most responsive to notifications at 9 AM on weekdays' or 'reminders are counterproductive after poor performance'. These learned timings are then hardcoded into the system for efficiency, with the RL component continuing to explore alternative timings periodically.</w:t>
      </w:r>
    </w:p>
    <w:p>
      <w:pPr>
        <w:pStyle w:val="Heading2"/>
      </w:pPr>
      <w:r>
        <w:t xml:space="preserve">5.3 Code Auto-Update Mechanism</w:t>
      </w:r>
    </w:p>
    <w:p>
      <w:pPr>
        <w:spacing w:before="100"/>
      </w:pPr>
      <w:r>
        <w:rPr>
          <w:rFonts w:ascii="Times New Roman" w:cs="Times New Roman" w:eastAsia="Times New Roman" w:hAnsi="Times New Roman"/>
          <w:sz w:val="24"/>
          <w:szCs w:val="24"/>
        </w:rPr>
        <w:t xml:space="preserve">The most advanced feature of Jarvis is its ability to modify its own code based on accumulated learning. When the genetic algorithm identifies a strategy with significantly higher fitness than the current default, the system generates code that implements this strategy. The generated code is validated through simulation and A/B testing before being deployed. A rollback mechanism ensures that if a code update results in degraded performance, the previous version is automatically restored. All code modifications are logged with rationale, enabling human review and ensuring transparency. This capability transforms Jarvis from a static system into an adaptive one that improves continuously throughout the 90-day preparation period.</w:t>
      </w:r>
    </w:p>
    <w:p>
      <w:r>
        <w:br w:type="page"/>
      </w:r>
    </w:p>
    <w:p>
      <w:pPr>
        <w:pStyle w:val="Heading1"/>
      </w:pPr>
      <w:r>
        <w:t xml:space="preserve">PART 6: TECHNICAL IMPLEMENTATION FOR TERMUX/ANDROID</w:t>
      </w:r>
    </w:p>
    <w:p>
      <w:pPr>
        <w:pStyle w:val="Heading2"/>
      </w:pPr>
      <w:r>
        <w:t xml:space="preserve">6.1 System Requirements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Component</w:t>
            </w:r>
          </w:p>
        </w:tc>
        <w:tc>
          <w:tcPr>
            <w:tcW w:type="dxa" w:w="4680"/>
            <w:tcBorders>
              <w:top w:val="single" w:color="CCCCCC" w:sz="1"/>
              <w:left w:val="single" w:color="CCCCCC" w:sz="1"/>
              <w:bottom w:val="single" w:color="CCCCCC" w:sz="1"/>
              <w:right w:val="single" w:color="CCCCCC" w:sz="1"/>
            </w:tcBorders>
            <w:shd w:fill="E2E8F0" w:val="clear"/>
            <w:tcMar>
              <w:top w:type="dxa" w:w="100"/>
              <w:left w:type="dxa" w:w="150"/>
              <w:bottom w:type="dxa" w:w="100"/>
              <w:right w:type="dxa" w:w="150"/>
            </w:tcMar>
            <w:vAlign w:val="center"/>
          </w:tcPr>
          <w:p>
            <w:pPr>
              <w:jc w:val="center"/>
            </w:pPr>
            <w:r>
              <w:rPr>
                <w:rFonts w:ascii="Times New Roman" w:cs="Times New Roman" w:eastAsia="Times New Roman" w:hAnsi="Times New Roman"/>
                <w:b/>
                <w:bCs/>
                <w:sz w:val="22"/>
                <w:szCs w:val="22"/>
              </w:rPr>
              <w:t xml:space="preserve">Requirement</w:t>
            </w:r>
          </w:p>
        </w:tc>
      </w:tr>
      <w:tr>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Android Device</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Rooted, Android 8+, 4GB+ RAM</w:t>
            </w:r>
          </w:p>
        </w:tc>
      </w:tr>
      <w:tr>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Termux</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Latest version from F-Droid</w:t>
            </w:r>
          </w:p>
        </w:tc>
      </w:tr>
      <w:tr>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Storage</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10GB free for models and data</w:t>
            </w:r>
          </w:p>
        </w:tc>
      </w:tr>
      <w:tr>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LLM Model</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DeepSeek-R1:1.5B (or similar)</w:t>
            </w:r>
          </w:p>
        </w:tc>
      </w:tr>
      <w:tr>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Root Access</w:t>
            </w:r>
          </w:p>
        </w:tc>
        <w:tc>
          <w:tcPr>
            <w:tcW w:type="dxa" w:w="4680"/>
            <w:tcBorders>
              <w:top w:val="single" w:color="CCCCCC" w:sz="1"/>
              <w:left w:val="single" w:color="CCCCCC" w:sz="1"/>
              <w:bottom w:val="single" w:color="CCCCCC" w:sz="1"/>
              <w:right w:val="single" w:color="CCCCCC" w:sz="1"/>
            </w:tcBorders>
            <w:shd w:fill="F8FAFC" w:val="clear"/>
            <w:tcMar>
              <w:top w:type="dxa" w:w="100"/>
              <w:left w:type="dxa" w:w="150"/>
              <w:bottom w:type="dxa" w:w="100"/>
              <w:right w:type="dxa" w:w="150"/>
            </w:tcMar>
            <w:vAlign w:val="center"/>
          </w:tcPr>
          <w:p>
            <w:pPr>
              <w:jc w:val="center"/>
            </w:pPr>
            <w:r>
              <w:rPr>
                <w:rFonts w:ascii="Times New Roman" w:cs="Times New Roman" w:eastAsia="Times New Roman" w:hAnsi="Times New Roman"/>
                <w:b w:val="false"/>
                <w:bCs w:val="false"/>
                <w:sz w:val="22"/>
                <w:szCs w:val="22"/>
              </w:rPr>
              <w:t xml:space="preserve">Required for Force Mode features</w:t>
            </w:r>
          </w:p>
        </w:tc>
      </w:tr>
    </w:tbl>
    <w:p>
      <w:pPr>
        <w:spacing w:before="100" w:after="200"/>
        <w:jc w:val="center"/>
      </w:pPr>
      <w:r>
        <w:rPr>
          <w:rFonts w:ascii="Times New Roman" w:cs="Times New Roman" w:eastAsia="Times New Roman" w:hAnsi="Times New Roman"/>
          <w:i/>
          <w:iCs/>
          <w:color w:val="64748B"/>
          <w:sz w:val="20"/>
          <w:szCs w:val="20"/>
        </w:rPr>
        <w:t xml:space="preserve">Table 8: System Requirements for Jarvis Implementation</w:t>
      </w:r>
    </w:p>
    <w:p>
      <w:pPr>
        <w:pStyle w:val="Heading2"/>
      </w:pPr>
      <w:r>
        <w:t xml:space="preserve">6.2 Architecture Overview</w:t>
      </w:r>
    </w:p>
    <w:p>
      <w:pPr>
        <w:spacing w:before="100"/>
      </w:pPr>
      <w:r>
        <w:rPr>
          <w:rFonts w:ascii="Times New Roman" w:cs="Times New Roman" w:eastAsia="Times New Roman" w:hAnsi="Times New Roman"/>
          <w:sz w:val="24"/>
          <w:szCs w:val="24"/>
        </w:rPr>
        <w:t xml:space="preserve">The Jarvis system architecture consists of five interconnected layers: (1) Hardware/OS Foundation layer handles device-level interactions through Termux API and root commands; (2) Core Decision Engine implements IRT, BKT, and spaced repetition algorithms; (3) Data Layer manages student profiles, content databases, and performance logs in SQLite; (4) Execution Layer handles content delivery, app blocking, and distraction monitoring; (5) LLM Layer provides dynamic question generation and explanations via a local language model. Each layer operates independently but communicates through well-defined interfaces, enabling modular development and maintenance.</w:t>
      </w:r>
    </w:p>
    <w:p>
      <w:pPr>
        <w:pStyle w:val="Heading2"/>
      </w:pPr>
      <w:r>
        <w:t xml:space="preserve">6.3 Privacy and Security Considerations</w:t>
      </w:r>
    </w:p>
    <w:p>
      <w:pPr>
        <w:spacing w:before="100"/>
      </w:pPr>
      <w:r>
        <w:rPr>
          <w:rFonts w:ascii="Times New Roman" w:cs="Times New Roman" w:eastAsia="Times New Roman" w:hAnsi="Times New Roman"/>
          <w:sz w:val="24"/>
          <w:szCs w:val="24"/>
        </w:rPr>
        <w:t xml:space="preserve">All Jarvis operations occur locally on the device, with no data transmitted to external servers. This ensures complete privacy of student data including study patterns, performance metrics, and behavioral indicators. The local LLM eliminates dependency on internet connectivity for core functions, though video content may require initial download. Security measures include encrypted storage of sensitive data, secure handling of root privileges, and fail-safe mechanisms that disable force mode if unusual activity is detected. The system is designed to fail gracefully, reverting to basic functionality if advanced features encounter errors.</w:t>
      </w:r>
    </w:p>
    <w:p>
      <w:pPr>
        <w:pStyle w:val="Heading1"/>
      </w:pPr>
      <w:r>
        <w:t xml:space="preserve">CONCLUSION: THE PATH TO EXCELLENCE</w:t>
      </w:r>
    </w:p>
    <w:p>
      <w:pPr>
        <w:spacing w:before="100"/>
      </w:pPr>
      <w:r>
        <w:rPr>
          <w:rFonts w:ascii="Times New Roman" w:cs="Times New Roman" w:eastAsia="Times New Roman" w:hAnsi="Times New Roman"/>
          <w:sz w:val="24"/>
          <w:szCs w:val="24"/>
        </w:rPr>
        <w:t xml:space="preserve">This comprehensive blueprint represents the deepest possible analysis of a self-evolving AI study system designed specifically for B.Sc Computer Science entrance exam preparation at Loyola Academy, Hyderabad. The system addresses every micro-detail of the preparation process, from exam pattern analysis to psychological manipulation techniques, from real-time adaptation algorithms to self-modifying code architecture. The 90-day strategic plan ensures systematic coverage of all syllabus topics with appropriate emphasis on high-yield areas, while the psychological components maintain motivation and discipline throughout the preparation period.</w:t>
      </w:r>
    </w:p>
    <w:p>
      <w:pPr>
        <w:spacing w:before="100"/>
      </w:pPr>
      <w:r>
        <w:rPr>
          <w:rFonts w:ascii="Times New Roman" w:cs="Times New Roman" w:eastAsia="Times New Roman" w:hAnsi="Times New Roman"/>
          <w:sz w:val="24"/>
          <w:szCs w:val="24"/>
        </w:rPr>
        <w:t xml:space="preserve">The key innovation of Jarvis 3.0 is its ability to start with zero assumptions about the student's knowledge and evolve continuously based on accumulated data. This self-evolution ensures that the system becomes increasingly effective over time, discovering optimal teaching approaches that are personalized to the specific student's learning patterns, psychological profile, and preparation needs. The combination of Item Response Theory for ability estimation, Bayesian Knowledge Tracing for concept mastery tracking, and genetic algorithms for strategy evolution creates a sophisticated adaptive learning system that is unprecedented in its depth and comprehensiveness.</w:t>
      </w:r>
    </w:p>
    <w:p>
      <w:pPr>
        <w:spacing w:before="100"/>
      </w:pPr>
      <w:r>
        <w:rPr>
          <w:rFonts w:ascii="Times New Roman" w:cs="Times New Roman" w:eastAsia="Times New Roman" w:hAnsi="Times New Roman"/>
          <w:sz w:val="24"/>
          <w:szCs w:val="24"/>
        </w:rPr>
        <w:t xml:space="preserve">The implementation using Termux on a rooted Android device ensures that all advanced features, including force mode, distraction monitoring, and local LLM operation, can be achieved without cloud dependency. This approach guarantees privacy, enables offline operation, and provides complete control over the learning environment. The result is a powerful, personalized AI tutor that transforms the 90-day preparation period into an optimized, efficient journey toward examination excellence.</w:t>
      </w:r>
    </w:p>
    <w:sectPr>
      <w:headerReference w:type="default" r:id="rId6"/>
      <w:footerReference w:type="default" r:id="rId7"/>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r>
      <w:rPr>
        <w:rFonts w:ascii="Times New Roman" w:cs="Times New Roman" w:eastAsia="Times New Roman" w:hAnsi="Times New Roman"/>
        <w:sz w:val="20"/>
        <w:szCs w:val="20"/>
      </w:rPr>
      <w:t xml:space="preserve"> of </w:t>
    </w:r>
    <w:r>
      <w:rPr>
        <w:rFonts w:ascii="Times New Roman" w:cs="Times New Roman" w:eastAsia="Times New Roman" w:hAnsi="Times New Roman"/>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4748B"/>
        <w:sz w:val="20"/>
        <w:szCs w:val="20"/>
      </w:rPr>
      <w:t xml:space="preserve">JARVIS 3.0 - B.Sc CS Entrance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color w:val="1E293B"/>
      <w:sz w:val="28"/>
      <w:szCs w:val="28"/>
    </w:rPr>
  </w:style>
  <w:style w:type="paragraph" w:styleId="Heading3">
    <w:name w:val="Heading 3"/>
    <w:basedOn w:val="Normal"/>
    <w:next w:val="Normal"/>
    <w:qFormat/>
    <w:pPr>
      <w:spacing w:before="180" w:after="12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2026-02-12T02:27:23.687Z</dcterms:created>
  <dcterms:modified xsi:type="dcterms:W3CDTF">2026-02-12T02:27:23.687Z</dcterms:modified>
</cp:coreProperties>
</file>

<file path=docProps/custom.xml><?xml version="1.0" encoding="utf-8"?>
<Properties xmlns="http://schemas.openxmlformats.org/officeDocument/2006/custom-properties" xmlns:vt="http://schemas.openxmlformats.org/officeDocument/2006/docPropsVTypes"/>
</file>