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测试产品2 -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</w:t>
      </w:r>
    </w:p>
    <w:p>
      <w:r>
        <w:rPr>
          <w:sz w:val="22"/>
        </w:rPr>
        <w:t>联系人：待定</w:t>
      </w:r>
    </w:p>
    <w:p>
      <w:r>
        <w:rPr>
          <w:sz w:val="22"/>
        </w:rPr>
        <w:t>联系电话：待定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产品名称：测试产品2</w:t>
      </w:r>
    </w:p>
    <w:p>
      <w:r>
        <w:rPr>
          <w:sz w:val="22"/>
        </w:rPr>
        <w:t>授权交易场景：金融风控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有效期自：待定</w:t>
      </w:r>
    </w:p>
    <w:p>
      <w:r>
        <w:rPr>
          <w:sz w:val="22"/>
        </w:rPr>
        <w:t>有效期至：待定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使用方应遵守数据安全相关法律法规，不得用于授权范围以外的用途。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06:23:14 | 文档编号：7d0c2592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