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D700" w:sz="6"/>
        </w:pBdr>
        <w:spacing w:after="120" w:before="200"/>
      </w:pPr>
      <w:r>
        <w:rPr>
          <w:rFonts w:ascii="Arial" w:cs="Arial" w:eastAsia="Arial" w:hAnsi="Arial"/>
          <w:b/>
          <w:bCs/>
          <w:color w:val="333333"/>
          <w:sz w:val="36"/>
          <w:szCs w:val="36"/>
        </w:rPr>
        <w:t xml:space="preserve">Durchblickt! // Leitlinien 2026</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Binnendifferenzierung</w:t>
            </w:r>
          </w:p>
        </w:tc>
        <w:tc>
          <w:tcPr>
            <w:tcW w:type="dxa" w:w="656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Durchgehend Sek I/Sek II-Varianten in Materialien und Reflexionstiefe</w:t>
            </w:r>
          </w:p>
        </w:tc>
      </w:tr>
      <w:tr>
        <w:tc>
          <w:tcPr>
            <w:tcW w:type="dxa" w:w="2800"/>
            <w:shd w:fill="FFFBEA"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Klarer Fokus</w:t>
            </w:r>
          </w:p>
        </w:tc>
        <w:tc>
          <w:tcPr>
            <w:tcW w:type="dxa" w:w="6560"/>
            <w:shd w:fill="FFFBEA"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Eine Leitfrage: Was passiert in meinem Körper, wenn ich abends am Bildschirm bin – und wie kann ich besser einschlafen?</w:t>
            </w:r>
          </w:p>
        </w:tc>
      </w:tr>
      <w:tr>
        <w:tc>
          <w:tcPr>
            <w:tcW w:type="dxa" w:w="280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Andocken</w:t>
            </w:r>
          </w:p>
        </w:tc>
        <w:tc>
          <w:tcPr>
            <w:tcW w:type="dxa" w:w="656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Baut auf LH1 (Gehirn/Hormone), LH8 (Gesundheit), LH23 (Bildschirmzeit) und LH32 (Stress) auf – ohne Wiederholung</w:t>
            </w:r>
          </w:p>
        </w:tc>
      </w:tr>
      <w:tr>
        <w:tc>
          <w:tcPr>
            <w:tcW w:type="dxa" w:w="2800"/>
            <w:shd w:fill="FFFBEA"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Gesundheitsbezug</w:t>
            </w:r>
          </w:p>
        </w:tc>
        <w:tc>
          <w:tcPr>
            <w:tcW w:type="dxa" w:w="6560"/>
            <w:shd w:fill="FFFBEA"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Körperliche (Schlaf-Wach-Rhythmus, Melatonin) und psychische Gesundheit (Stimmung, Konzentration, Stress) in jeder Phase verankert</w:t>
            </w:r>
          </w:p>
        </w:tc>
      </w:tr>
      <w:tr>
        <w:tc>
          <w:tcPr>
            <w:tcW w:type="dxa" w:w="280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„Langlebigkeit“</w:t>
            </w:r>
          </w:p>
        </w:tc>
        <w:tc>
          <w:tcPr>
            <w:tcW w:type="dxa" w:w="656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Biologische Grundlagen (Chronobiologie, Melatonin) statt kurzlebiger App-Tipps</w:t>
            </w:r>
          </w:p>
        </w:tc>
      </w:tr>
      <w:tr>
        <w:tc>
          <w:tcPr>
            <w:tcW w:type="dxa" w:w="2800"/>
            <w:shd w:fill="FFFBEA"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Strukturelle Kontinuität</w:t>
            </w:r>
          </w:p>
        </w:tc>
        <w:tc>
          <w:tcPr>
            <w:tcW w:type="dxa" w:w="6560"/>
            <w:shd w:fill="FFFBEA"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Bewährter 6-Phasen-Aufbau</w:t>
            </w:r>
          </w:p>
        </w:tc>
      </w:tr>
      <w:tr>
        <w:tc>
          <w:tcPr>
            <w:tcW w:type="dxa" w:w="280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Einheit</w:t>
            </w:r>
          </w:p>
        </w:tc>
        <w:tc>
          <w:tcPr>
            <w:tcW w:type="dxa" w:w="6560"/>
            <w:shd w:fill="FFFFFF" w:val="clear"/>
            <w:tcMar>
              <w:top w:type="dxa" w:w="80"/>
              <w:left w:type="dxa" w:w="120"/>
              <w:bottom w:type="dxa" w:w="80"/>
              <w:right w:type="dxa" w:w="120"/>
            </w:tcMar>
          </w:tcPr>
          <w:p>
            <w:pPr>
              <w:spacing w:after="60" w:before="60"/>
            </w:pPr>
            <w:r>
              <w:rPr>
                <w:rFonts w:ascii="Arial" w:cs="Arial" w:eastAsia="Arial" w:hAnsi="Arial"/>
                <w:b w:val="false"/>
                <w:bCs w:val="false"/>
                <w:color w:val="333333"/>
                <w:sz w:val="20"/>
                <w:szCs w:val="20"/>
              </w:rPr>
              <w:t xml:space="preserve">90 Minuten</w:t>
            </w:r>
          </w:p>
        </w:tc>
      </w:tr>
    </w:tbl>
    <w:p>
      <w:pPr>
        <w:spacing w:after="120" w:before="120"/>
      </w:pPr>
    </w:p>
    <w:p>
      <w:pPr>
        <w:pBdr>
          <w:bottom w:val="single" w:color="FFD700" w:sz="4"/>
        </w:pBdr>
        <w:spacing w:after="100" w:before="280"/>
      </w:pPr>
      <w:r>
        <w:rPr>
          <w:rFonts w:ascii="Arial" w:cs="Arial" w:eastAsia="Arial" w:hAnsi="Arial"/>
          <w:b/>
          <w:bCs/>
          <w:color w:val="333333"/>
          <w:sz w:val="26"/>
          <w:szCs w:val="26"/>
        </w:rPr>
        <w:t xml:space="preserve">Grobkonzept 4. Handreichung</w:t>
      </w:r>
    </w:p>
    <w:p>
      <w:pPr>
        <w:spacing w:after="60" w:before="60"/>
      </w:pPr>
      <w:r>
        <w:rPr>
          <w:rFonts w:ascii="Arial" w:cs="Arial" w:eastAsia="Arial" w:hAnsi="Arial"/>
          <w:b/>
          <w:bCs/>
          <w:sz w:val="22"/>
          <w:szCs w:val="22"/>
        </w:rPr>
        <w:t xml:space="preserve">Arbeitstitel: </w:t>
      </w:r>
      <w:r>
        <w:rPr>
          <w:rFonts w:ascii="Arial" w:cs="Arial" w:eastAsia="Arial" w:hAnsi="Arial"/>
          <w:sz w:val="22"/>
          <w:szCs w:val="22"/>
        </w:rPr>
        <w:t xml:space="preserve">„Schlaf gut! – Wie digitale Geräte unseren Schlaf beeinflussen“</w:t>
      </w:r>
    </w:p>
    <w:p>
      <w:pPr>
        <w:spacing w:after="80" w:before="80"/>
      </w:pPr>
    </w:p>
    <w:p>
      <w:pPr>
        <w:spacing w:after="60" w:before="160"/>
      </w:pPr>
      <w:r>
        <w:rPr>
          <w:rFonts w:ascii="Arial" w:cs="Arial" w:eastAsia="Arial" w:hAnsi="Arial"/>
          <w:b/>
          <w:bCs/>
          <w:color w:val="333333"/>
          <w:sz w:val="22"/>
          <w:szCs w:val="22"/>
        </w:rPr>
        <w:t xml:space="preserve">1. Kernbotschaften</w:t>
      </w:r>
    </w:p>
    <w:p>
      <w:pPr>
        <w:pStyle w:val="ListParagraph"/>
        <w:numPr>
          <w:ilvl w:val="0"/>
          <w:numId w:val="1"/>
        </w:numPr>
        <w:spacing w:after="40" w:before="40"/>
      </w:pPr>
      <w:r>
        <w:rPr>
          <w:rFonts w:ascii="Arial" w:cs="Arial" w:eastAsia="Arial" w:hAnsi="Arial"/>
          <w:b/>
          <w:bCs/>
          <w:sz w:val="22"/>
          <w:szCs w:val="22"/>
        </w:rPr>
        <w:t xml:space="preserve">1. </w:t>
      </w:r>
      <w:r>
        <w:rPr>
          <w:rFonts w:ascii="Arial" w:cs="Arial" w:eastAsia="Arial" w:hAnsi="Arial"/>
          <w:sz w:val="22"/>
          <w:szCs w:val="22"/>
        </w:rPr>
        <w:t xml:space="preserve">Schlaf ist kein Luxus, sondern lebenswichtig – besonders für Konzentration, Lernen und psychische Gesundheit.</w:t>
      </w:r>
    </w:p>
    <w:p>
      <w:pPr>
        <w:pStyle w:val="ListParagraph"/>
        <w:numPr>
          <w:ilvl w:val="0"/>
          <w:numId w:val="1"/>
        </w:numPr>
        <w:spacing w:after="40" w:before="40"/>
      </w:pPr>
      <w:r>
        <w:rPr>
          <w:rFonts w:ascii="Arial" w:cs="Arial" w:eastAsia="Arial" w:hAnsi="Arial"/>
          <w:b/>
          <w:bCs/>
          <w:sz w:val="22"/>
          <w:szCs w:val="22"/>
        </w:rPr>
        <w:t xml:space="preserve">2. </w:t>
      </w:r>
      <w:r>
        <w:rPr>
          <w:rFonts w:ascii="Arial" w:cs="Arial" w:eastAsia="Arial" w:hAnsi="Arial"/>
          <w:sz w:val="22"/>
          <w:szCs w:val="22"/>
        </w:rPr>
        <w:t xml:space="preserve">Blaues Licht beeinflusst den Schlaf-Wach-Rhythmus – Bildschirme senden Signale ans Gehirn, die uns wach halten.</w:t>
      </w:r>
    </w:p>
    <w:p>
      <w:pPr>
        <w:pStyle w:val="ListParagraph"/>
        <w:numPr>
          <w:ilvl w:val="0"/>
          <w:numId w:val="1"/>
        </w:numPr>
        <w:spacing w:after="40" w:before="40"/>
      </w:pPr>
      <w:r>
        <w:rPr>
          <w:rFonts w:ascii="Arial" w:cs="Arial" w:eastAsia="Arial" w:hAnsi="Arial"/>
          <w:b/>
          <w:bCs/>
          <w:sz w:val="22"/>
          <w:szCs w:val="22"/>
        </w:rPr>
        <w:t xml:space="preserve">3. </w:t>
      </w:r>
      <w:r>
        <w:rPr>
          <w:rFonts w:ascii="Arial" w:cs="Arial" w:eastAsia="Arial" w:hAnsi="Arial"/>
          <w:sz w:val="22"/>
          <w:szCs w:val="22"/>
        </w:rPr>
        <w:t xml:space="preserve">Nicht nur das Licht ist das Problem – auch Inhalte, Aufregung und FOMO stören das Einschlafen.</w:t>
      </w:r>
    </w:p>
    <w:p>
      <w:pPr>
        <w:pStyle w:val="ListParagraph"/>
        <w:numPr>
          <w:ilvl w:val="0"/>
          <w:numId w:val="1"/>
        </w:numPr>
        <w:spacing w:after="40" w:before="40"/>
      </w:pPr>
      <w:r>
        <w:rPr>
          <w:rFonts w:ascii="Arial" w:cs="Arial" w:eastAsia="Arial" w:hAnsi="Arial"/>
          <w:b/>
          <w:bCs/>
          <w:sz w:val="22"/>
          <w:szCs w:val="22"/>
        </w:rPr>
        <w:t xml:space="preserve">4. </w:t>
      </w:r>
      <w:r>
        <w:rPr>
          <w:rFonts w:ascii="Arial" w:cs="Arial" w:eastAsia="Arial" w:hAnsi="Arial"/>
          <w:sz w:val="22"/>
          <w:szCs w:val="22"/>
        </w:rPr>
        <w:t xml:space="preserve">Bewusste Abendrituale helfen – wer Bildschirmpausen vor dem Schlafen einlegt, schläft besser und fühlt sich erholter.</w:t>
      </w:r>
    </w:p>
    <w:p>
      <w:pPr>
        <w:spacing w:after="80" w:before="80"/>
      </w:pPr>
    </w:p>
    <w:p>
      <w:pPr>
        <w:spacing w:after="60" w:before="160"/>
      </w:pPr>
      <w:r>
        <w:rPr>
          <w:rFonts w:ascii="Arial" w:cs="Arial" w:eastAsia="Arial" w:hAnsi="Arial"/>
          <w:b/>
          <w:bCs/>
          <w:color w:val="333333"/>
          <w:sz w:val="22"/>
          <w:szCs w:val="22"/>
        </w:rPr>
        <w:t xml:space="preserve">2. Anknüpfungspunkte an bestehende Einheiten</w:t>
      </w:r>
    </w:p>
    <w:p>
      <w:pPr>
        <w:pStyle w:val="ListParagraph"/>
        <w:numPr>
          <w:ilvl w:val="0"/>
          <w:numId w:val="1"/>
        </w:numPr>
        <w:spacing w:after="40" w:before="40"/>
      </w:pPr>
      <w:r>
        <w:rPr>
          <w:rFonts w:ascii="Arial" w:cs="Arial" w:eastAsia="Arial" w:hAnsi="Arial"/>
          <w:sz w:val="22"/>
          <w:szCs w:val="22"/>
        </w:rPr>
        <w:t xml:space="preserve">LH1 Mediennutzung und das Gehirn – Hormone, Belohnungssystem (wird aktiviert/vertieft: Melatonin)</w:t>
      </w:r>
    </w:p>
    <w:p>
      <w:pPr>
        <w:pStyle w:val="ListParagraph"/>
        <w:numPr>
          <w:ilvl w:val="0"/>
          <w:numId w:val="1"/>
        </w:numPr>
        <w:spacing w:after="40" w:before="40"/>
      </w:pPr>
      <w:r>
        <w:rPr>
          <w:rFonts w:ascii="Arial" w:cs="Arial" w:eastAsia="Arial" w:hAnsi="Arial"/>
          <w:sz w:val="22"/>
          <w:szCs w:val="22"/>
        </w:rPr>
        <w:t xml:space="preserve">LH5 Der Trend zum Zweitbildschirm – Mediennutzung am Abend, Ablenkung</w:t>
      </w:r>
    </w:p>
    <w:p>
      <w:pPr>
        <w:pStyle w:val="ListParagraph"/>
        <w:numPr>
          <w:ilvl w:val="0"/>
          <w:numId w:val="1"/>
        </w:numPr>
        <w:spacing w:after="40" w:before="40"/>
      </w:pPr>
      <w:r>
        <w:rPr>
          <w:rFonts w:ascii="Arial" w:cs="Arial" w:eastAsia="Arial" w:hAnsi="Arial"/>
          <w:sz w:val="22"/>
          <w:szCs w:val="22"/>
        </w:rPr>
        <w:t xml:space="preserve">LH8 Digital stark: Gesundheit entdecken – Schlaf als Teil eines gesunden Lebensstils</w:t>
      </w:r>
    </w:p>
    <w:p>
      <w:pPr>
        <w:pStyle w:val="ListParagraph"/>
        <w:numPr>
          <w:ilvl w:val="0"/>
          <w:numId w:val="1"/>
        </w:numPr>
        <w:spacing w:after="40" w:before="40"/>
      </w:pPr>
      <w:r>
        <w:rPr>
          <w:rFonts w:ascii="Arial" w:cs="Arial" w:eastAsia="Arial" w:hAnsi="Arial"/>
          <w:sz w:val="22"/>
          <w:szCs w:val="22"/>
        </w:rPr>
        <w:t xml:space="preserve">LH23 Nutzungsdauer und körperliche Probleme – Bildschirmzeit, körperliche Auswirkungen</w:t>
      </w:r>
    </w:p>
    <w:p>
      <w:pPr>
        <w:pStyle w:val="ListParagraph"/>
        <w:numPr>
          <w:ilvl w:val="0"/>
          <w:numId w:val="1"/>
        </w:numPr>
        <w:spacing w:after="40" w:before="40"/>
      </w:pPr>
      <w:r>
        <w:rPr>
          <w:rFonts w:ascii="Arial" w:cs="Arial" w:eastAsia="Arial" w:hAnsi="Arial"/>
          <w:sz w:val="22"/>
          <w:szCs w:val="22"/>
        </w:rPr>
        <w:t xml:space="preserve">LH32 Stress ist nicht gleich Stress – Abendliche Entspannung, Achtsamkeit</w:t>
      </w:r>
    </w:p>
    <w:p>
      <w:pPr>
        <w:spacing w:after="80" w:before="80"/>
      </w:pPr>
    </w:p>
    <w:p>
      <w:pPr>
        <w:spacing w:after="60" w:before="160"/>
      </w:pPr>
      <w:r>
        <w:rPr>
          <w:rFonts w:ascii="Arial" w:cs="Arial" w:eastAsia="Arial" w:hAnsi="Arial"/>
          <w:b/>
          <w:bCs/>
          <w:color w:val="333333"/>
          <w:sz w:val="22"/>
          <w:szCs w:val="22"/>
        </w:rPr>
        <w:t xml:space="preserve">3. KMK-Kompetenzbereiche (Schwerpunkt: Bereiche 4 und 5)</w:t>
      </w:r>
    </w:p>
    <w:p>
      <w:pPr>
        <w:spacing w:after="80" w:before="80"/>
      </w:pPr>
    </w:p>
    <w:p>
      <w:pPr>
        <w:spacing w:after="60" w:before="160"/>
      </w:pPr>
      <w:r>
        <w:rPr>
          <w:rFonts w:ascii="Arial" w:cs="Arial" w:eastAsia="Arial" w:hAnsi="Arial"/>
          <w:b/>
          <w:bCs/>
          <w:color w:val="333333"/>
          <w:sz w:val="22"/>
          <w:szCs w:val="22"/>
        </w:rPr>
        <w:t xml:space="preserve">4. Dimensionen digitaler Gesundheitskompetenz</w:t>
      </w:r>
    </w:p>
    <w:p>
      <w:pPr>
        <w:pStyle w:val="ListParagraph"/>
        <w:numPr>
          <w:ilvl w:val="0"/>
          <w:numId w:val="1"/>
        </w:numPr>
        <w:spacing w:after="40" w:before="40"/>
      </w:pPr>
      <w:r>
        <w:rPr>
          <w:rFonts w:ascii="Arial" w:cs="Arial" w:eastAsia="Arial" w:hAnsi="Arial"/>
          <w:sz w:val="22"/>
          <w:szCs w:val="22"/>
        </w:rPr>
        <w:t xml:space="preserve">DGK 2: Verstehen der biologischen Zusammenhänge (Blaulicht, Melatonin, Zirkadianer Rhythmus)</w:t>
      </w:r>
    </w:p>
    <w:p>
      <w:pPr>
        <w:pStyle w:val="ListParagraph"/>
        <w:numPr>
          <w:ilvl w:val="0"/>
          <w:numId w:val="1"/>
        </w:numPr>
        <w:spacing w:after="40" w:before="40"/>
      </w:pPr>
      <w:r>
        <w:rPr>
          <w:rFonts w:ascii="Arial" w:cs="Arial" w:eastAsia="Arial" w:hAnsi="Arial"/>
          <w:sz w:val="22"/>
          <w:szCs w:val="22"/>
        </w:rPr>
        <w:t xml:space="preserve">DGK 3: Bewerten der eigenen Abendroutine und Schlafqualität</w:t>
      </w:r>
    </w:p>
    <w:p>
      <w:pPr>
        <w:pStyle w:val="ListParagraph"/>
        <w:numPr>
          <w:ilvl w:val="0"/>
          <w:numId w:val="1"/>
        </w:numPr>
        <w:spacing w:after="40" w:before="40"/>
      </w:pPr>
      <w:r>
        <w:rPr>
          <w:rFonts w:ascii="Arial" w:cs="Arial" w:eastAsia="Arial" w:hAnsi="Arial"/>
          <w:sz w:val="22"/>
          <w:szCs w:val="22"/>
        </w:rPr>
        <w:t xml:space="preserve">DGK 4: Anwenden von Strategien für besseren Schlaf</w:t>
      </w:r>
    </w:p>
    <w:p>
      <w:pPr>
        <w:pStyle w:val="ListParagraph"/>
        <w:numPr>
          <w:ilvl w:val="0"/>
          <w:numId w:val="1"/>
        </w:numPr>
        <w:spacing w:after="40" w:before="40"/>
      </w:pPr>
      <w:r>
        <w:rPr>
          <w:rFonts w:ascii="Arial" w:cs="Arial" w:eastAsia="Arial" w:hAnsi="Arial"/>
          <w:sz w:val="22"/>
          <w:szCs w:val="22"/>
        </w:rPr>
        <w:t xml:space="preserve">DGK 5: Schützen der eigenen Gesundheit durch bewusste Bildschirmzeit am Abend</w:t>
      </w:r>
    </w:p>
    <w:p>
      <w:pPr>
        <w:spacing w:after="120" w:before="120"/>
      </w:pPr>
    </w:p>
    <w:p>
      <w:pPr>
        <w:spacing w:after="60" w:before="160"/>
      </w:pPr>
      <w:r>
        <w:rPr>
          <w:rFonts w:ascii="Arial" w:cs="Arial" w:eastAsia="Arial" w:hAnsi="Arial"/>
          <w:b/>
          <w:bCs/>
          <w:color w:val="333333"/>
          <w:sz w:val="22"/>
          <w:szCs w:val="22"/>
        </w:rPr>
        <w:t xml:space="preserve">5. Ablaufstruktur (90 Minuten)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5800"/>
            <w:shd w:fill="FFD700" w:val="clear"/>
            <w:tcMar>
              <w:top w:type="dxa" w:w="80"/>
              <w:left w:type="dxa" w:w="120"/>
              <w:bottom w:type="dxa" w:w="80"/>
              <w:right w:type="dxa" w:w="120"/>
            </w:tcMar>
          </w:tcPr>
          <w:p>
            <w:pPr>
              <w:spacing w:after="60" w:before="60"/>
            </w:pPr>
            <w:r>
              <w:rPr>
                <w:rFonts w:ascii="Arial" w:cs="Arial" w:eastAsia="Arial" w:hAnsi="Arial"/>
                <w:b/>
                <w:bCs/>
                <w:color w:val="333333"/>
                <w:sz w:val="20"/>
                <w:szCs w:val="20"/>
              </w:rPr>
              <w:t xml:space="preserve">Phase / Inhalt</w:t>
            </w:r>
          </w:p>
        </w:tc>
        <w:tc>
          <w:tcPr>
            <w:tcW w:type="dxa" w:w="3560"/>
            <w:shd w:fill="FFD700" w:val="clear"/>
            <w:tcMar>
              <w:top w:type="dxa" w:w="80"/>
              <w:left w:type="dxa" w:w="120"/>
              <w:bottom w:type="dxa" w:w="80"/>
              <w:right w:type="dxa" w:w="120"/>
            </w:tcMar>
          </w:tcPr>
          <w:p>
            <w:pPr>
              <w:spacing w:after="60" w:before="60"/>
            </w:pPr>
            <w:r>
              <w:rPr>
                <w:rFonts w:ascii="Arial" w:cs="Arial" w:eastAsia="Arial" w:hAnsi="Arial"/>
                <w:b/>
                <w:bCs/>
                <w:color w:val="333333"/>
                <w:sz w:val="20"/>
                <w:szCs w:val="20"/>
              </w:rPr>
              <w:t xml:space="preserve">Differenzierung Sek I / Sek II</w:t>
            </w:r>
          </w:p>
        </w:tc>
      </w:tr>
      <w:tr>
        <w:tc>
          <w:tcPr>
            <w:tcW w:type="dxa" w:w="5800"/>
            <w:shd w:fill="FFFFFF" w:val="clear"/>
            <w:tcMar>
              <w:top w:type="dxa" w:w="100"/>
              <w:left w:type="dxa" w:w="140"/>
              <w:bottom w:type="dxa" w:w="100"/>
              <w:right w:type="dxa" w:w="140"/>
            </w:tcMar>
          </w:tcPr>
          <w:p>
            <w:pPr>
              <w:spacing w:after="80" w:before="60"/>
            </w:pPr>
            <w:r>
              <w:rPr>
                <w:rFonts w:ascii="Arial" w:cs="Arial" w:eastAsia="Arial" w:hAnsi="Arial"/>
                <w:b/>
                <w:bCs/>
                <w:sz w:val="20"/>
                <w:szCs w:val="20"/>
              </w:rPr>
              <w:t xml:space="preserve">PHASE 1: Einstieg – Schlaf und Bildschirm: Was hat das miteinander zu tun? (10 Min.)</w:t>
            </w:r>
          </w:p>
          <w:p>
            <w:pPr>
              <w:spacing w:after="60" w:before="60"/>
            </w:pPr>
            <w:r>
              <w:rPr>
                <w:rFonts w:ascii="Arial" w:cs="Arial" w:eastAsia="Arial" w:hAnsi="Arial"/>
                <w:b/>
                <w:bCs/>
                <w:sz w:val="20"/>
                <w:szCs w:val="20"/>
              </w:rPr>
              <w:t xml:space="preserve">Ziel: </w:t>
            </w:r>
            <w:r>
              <w:rPr>
                <w:rFonts w:ascii="Arial" w:cs="Arial" w:eastAsia="Arial" w:hAnsi="Arial"/>
                <w:sz w:val="20"/>
                <w:szCs w:val="20"/>
              </w:rPr>
              <w:t xml:space="preserve">Alltagsbezug herstellen, Vorwissen aktivieren, Neugier wecken</w:t>
            </w:r>
          </w:p>
          <w:p>
            <w:pPr>
              <w:spacing w:after="0" w:before="40"/>
            </w:pPr>
          </w:p>
          <w:p>
            <w:pPr>
              <w:spacing w:after="60" w:before="60"/>
            </w:pPr>
            <w:r>
              <w:rPr>
                <w:rFonts w:ascii="Arial" w:cs="Arial" w:eastAsia="Arial" w:hAnsi="Arial"/>
                <w:sz w:val="20"/>
                <w:szCs w:val="20"/>
              </w:rPr>
              <w:t xml:space="preserve">Die Phase beginnt mit einem Bild/Szenario (Folie): Jugendliche:r liegt nachts wach, Handy leuchtet im Dunkeln.</w:t>
            </w:r>
          </w:p>
          <w:p>
            <w:pPr>
              <w:spacing w:after="0" w:before="40"/>
            </w:pPr>
          </w:p>
          <w:p>
            <w:pPr>
              <w:spacing w:after="60" w:before="60"/>
            </w:pPr>
            <w:r>
              <w:rPr>
                <w:rFonts w:ascii="Arial" w:cs="Arial" w:eastAsia="Arial" w:hAnsi="Arial"/>
                <w:sz w:val="20"/>
                <w:szCs w:val="20"/>
              </w:rPr>
              <w:t xml:space="preserve">Im Plenum folgt eine Blitzumfrage: „Wer hat gestern Abend noch aufs Handy geschaut? Wie war der Schlaf?“ – direkte Anschlussfrage: „Wie habt ihr euch heute Morgen gefühlt – erholt oder noch müde?“</w:t>
            </w:r>
          </w:p>
          <w:p>
            <w:pPr>
              <w:spacing w:after="0" w:before="40"/>
            </w:pPr>
          </w:p>
          <w:p>
            <w:pPr>
              <w:spacing w:after="60" w:before="60"/>
            </w:pPr>
            <w:r>
              <w:rPr>
                <w:rFonts w:ascii="Arial" w:cs="Arial" w:eastAsia="Arial" w:hAnsi="Arial"/>
                <w:sz w:val="20"/>
                <w:szCs w:val="20"/>
              </w:rPr>
              <w:t xml:space="preserve">Impulsfrage: „Was könnte das eine mit dem anderen zu tun haben?“ – Erste Vermutungen werden gesammelt.</w:t>
            </w:r>
          </w:p>
        </w:tc>
        <w:tc>
          <w:tcPr>
            <w:tcW w:type="dxa" w:w="3560"/>
            <w:shd w:fill="FFFEF0" w:val="clear"/>
            <w:tcMar>
              <w:top w:type="dxa" w:w="100"/>
              <w:left w:type="dxa" w:w="140"/>
              <w:bottom w:type="dxa" w:w="100"/>
              <w:right w:type="dxa" w:w="140"/>
            </w:tcMar>
          </w:tcPr>
          <w:p>
            <w:pPr>
              <w:spacing w:after="30" w:before="60"/>
            </w:pPr>
            <w:r>
              <w:rPr>
                <w:rFonts w:ascii="Arial" w:cs="Arial" w:eastAsia="Arial" w:hAnsi="Arial"/>
                <w:b/>
                <w:bCs/>
                <w:sz w:val="20"/>
                <w:szCs w:val="20"/>
              </w:rPr>
              <w:t xml:space="preserve">Sek I: </w:t>
            </w:r>
          </w:p>
          <w:p>
            <w:pPr>
              <w:spacing w:after="60" w:before="60"/>
            </w:pPr>
            <w:r>
              <w:rPr>
                <w:rFonts w:ascii="Arial" w:cs="Arial" w:eastAsia="Arial" w:hAnsi="Arial"/>
                <w:sz w:val="20"/>
                <w:szCs w:val="20"/>
              </w:rPr>
              <w:t xml:space="preserve">Fokus auf eigenen Erfahrungen und konkreten Alltagsbeispielen.</w:t>
            </w:r>
          </w:p>
          <w:p>
            <w:pPr>
              <w:spacing w:after="0" w:before="40"/>
            </w:pPr>
          </w:p>
          <w:p>
            <w:pPr>
              <w:spacing w:after="30" w:before="60"/>
            </w:pPr>
            <w:r>
              <w:rPr>
                <w:rFonts w:ascii="Arial" w:cs="Arial" w:eastAsia="Arial" w:hAnsi="Arial"/>
                <w:b/>
                <w:bCs/>
                <w:sz w:val="20"/>
                <w:szCs w:val="20"/>
              </w:rPr>
              <w:t xml:space="preserve">Sek II: </w:t>
            </w:r>
          </w:p>
          <w:p>
            <w:pPr>
              <w:spacing w:after="60" w:before="60"/>
            </w:pPr>
            <w:r>
              <w:rPr>
                <w:rFonts w:ascii="Arial" w:cs="Arial" w:eastAsia="Arial" w:hAnsi="Arial"/>
                <w:sz w:val="20"/>
                <w:szCs w:val="20"/>
              </w:rPr>
              <w:t xml:space="preserve">Zusätzlich Hypothesenbildung zu möglichen biologischen Ursachen.</w:t>
            </w:r>
          </w:p>
        </w:tc>
      </w:tr>
      <w:tr>
        <w:tc>
          <w:tcPr>
            <w:tcW w:type="dxa" w:w="5800"/>
            <w:shd w:fill="FFFFFF" w:val="clear"/>
            <w:tcMar>
              <w:top w:type="dxa" w:w="100"/>
              <w:left w:type="dxa" w:w="140"/>
              <w:bottom w:type="dxa" w:w="100"/>
              <w:right w:type="dxa" w:w="140"/>
            </w:tcMar>
          </w:tcPr>
          <w:p>
            <w:pPr>
              <w:spacing w:after="80" w:before="60"/>
            </w:pPr>
            <w:r>
              <w:rPr>
                <w:rFonts w:ascii="Arial" w:cs="Arial" w:eastAsia="Arial" w:hAnsi="Arial"/>
                <w:b/>
                <w:bCs/>
                <w:sz w:val="20"/>
                <w:szCs w:val="20"/>
              </w:rPr>
              <w:t xml:space="preserve">PHASE 2: Hinführung – Was passiert in meinem Gehirn beim Einschlafen? (15 Min.)</w:t>
            </w:r>
          </w:p>
          <w:p>
            <w:pPr>
              <w:spacing w:after="60" w:before="60"/>
            </w:pPr>
            <w:r>
              <w:rPr>
                <w:rFonts w:ascii="Arial" w:cs="Arial" w:eastAsia="Arial" w:hAnsi="Arial"/>
                <w:b/>
                <w:bCs/>
                <w:sz w:val="20"/>
                <w:szCs w:val="20"/>
              </w:rPr>
              <w:t xml:space="preserve">Ziel: </w:t>
            </w:r>
            <w:r>
              <w:rPr>
                <w:rFonts w:ascii="Arial" w:cs="Arial" w:eastAsia="Arial" w:hAnsi="Arial"/>
                <w:sz w:val="20"/>
                <w:szCs w:val="20"/>
              </w:rPr>
              <w:t xml:space="preserve">Wissenschaftliche Grundlagen verstehen, Zusammenhänge erschließen</w:t>
            </w:r>
          </w:p>
          <w:p>
            <w:pPr>
              <w:spacing w:after="0" w:before="40"/>
            </w:pPr>
          </w:p>
          <w:p>
            <w:pPr>
              <w:spacing w:after="60" w:before="60"/>
            </w:pPr>
            <w:r>
              <w:rPr>
                <w:rFonts w:ascii="Arial" w:cs="Arial" w:eastAsia="Arial" w:hAnsi="Arial"/>
                <w:sz w:val="20"/>
                <w:szCs w:val="20"/>
              </w:rPr>
              <w:t xml:space="preserve">Ein Kurzinput (Erklärvideo oder Infografik, ca. 3–4 Min.) erläutert: Was passiert im Gehirn beim Einschlafen?</w:t>
            </w:r>
          </w:p>
          <w:p>
            <w:pPr>
              <w:spacing w:after="0" w:before="40"/>
            </w:pPr>
          </w:p>
          <w:p>
            <w:pPr>
              <w:spacing w:after="60" w:before="60"/>
            </w:pPr>
            <w:r>
              <w:rPr>
                <w:rFonts w:ascii="Arial" w:cs="Arial" w:eastAsia="Arial" w:hAnsi="Arial"/>
                <w:sz w:val="20"/>
                <w:szCs w:val="20"/>
              </w:rPr>
              <w:t xml:space="preserve">In Partnerarbeit erarbeiten die Lernenden anhand von Arbeitsblatt 1 (Informationskarten) die Grundbegriffe: Blaues Licht, Melatonin, Zirkadianer Rhythmus.</w:t>
            </w:r>
          </w:p>
          <w:p>
            <w:pPr>
              <w:spacing w:after="0" w:before="40"/>
            </w:pPr>
          </w:p>
          <w:p>
            <w:pPr>
              <w:spacing w:after="60" w:before="60"/>
            </w:pPr>
            <w:r>
              <w:rPr>
                <w:rFonts w:ascii="Arial" w:cs="Arial" w:eastAsia="Arial" w:hAnsi="Arial"/>
                <w:sz w:val="20"/>
                <w:szCs w:val="20"/>
              </w:rPr>
              <w:t xml:space="preserve">Im Plenum wird gemeinsam ein Schaubild vervollständigt: Licht → Gehirn → Melatonin → Schlaf.</w:t>
            </w:r>
          </w:p>
        </w:tc>
        <w:tc>
          <w:tcPr>
            <w:tcW w:type="dxa" w:w="3560"/>
            <w:shd w:fill="FFFEF0" w:val="clear"/>
            <w:tcMar>
              <w:top w:type="dxa" w:w="100"/>
              <w:left w:type="dxa" w:w="140"/>
              <w:bottom w:type="dxa" w:w="100"/>
              <w:right w:type="dxa" w:w="140"/>
            </w:tcMar>
          </w:tcPr>
          <w:p>
            <w:pPr>
              <w:spacing w:after="30" w:before="60"/>
            </w:pPr>
            <w:r>
              <w:rPr>
                <w:rFonts w:ascii="Arial" w:cs="Arial" w:eastAsia="Arial" w:hAnsi="Arial"/>
                <w:b/>
                <w:bCs/>
                <w:sz w:val="20"/>
                <w:szCs w:val="20"/>
              </w:rPr>
              <w:t xml:space="preserve">Sek I: </w:t>
            </w:r>
          </w:p>
          <w:p>
            <w:pPr>
              <w:spacing w:after="60" w:before="60"/>
            </w:pPr>
            <w:r>
              <w:rPr>
                <w:rFonts w:ascii="Arial" w:cs="Arial" w:eastAsia="Arial" w:hAnsi="Arial"/>
                <w:sz w:val="20"/>
                <w:szCs w:val="20"/>
              </w:rPr>
              <w:t xml:space="preserve">Vereinfachtes Schaubild mit drei Grundbegriffen.</w:t>
            </w:r>
          </w:p>
          <w:p>
            <w:pPr>
              <w:spacing w:after="0" w:before="40"/>
            </w:pPr>
          </w:p>
          <w:p>
            <w:pPr>
              <w:spacing w:after="30" w:before="60"/>
            </w:pPr>
            <w:r>
              <w:rPr>
                <w:rFonts w:ascii="Arial" w:cs="Arial" w:eastAsia="Arial" w:hAnsi="Arial"/>
                <w:b/>
                <w:bCs/>
                <w:sz w:val="20"/>
                <w:szCs w:val="20"/>
              </w:rPr>
              <w:t xml:space="preserve">Sek II: </w:t>
            </w:r>
          </w:p>
          <w:p>
            <w:pPr>
              <w:spacing w:after="60" w:before="60"/>
            </w:pPr>
            <w:r>
              <w:rPr>
                <w:rFonts w:ascii="Arial" w:cs="Arial" w:eastAsia="Arial" w:hAnsi="Arial"/>
                <w:sz w:val="20"/>
                <w:szCs w:val="20"/>
              </w:rPr>
              <w:t xml:space="preserve">Erweiterte Darstellung mit wissenschaftlichen Details (Suprachiasmatischer Kern, Blaulicht-Wellenlänge 450–495 nm).</w:t>
            </w:r>
          </w:p>
        </w:tc>
      </w:tr>
      <w:tr>
        <w:tc>
          <w:tcPr>
            <w:tcW w:type="dxa" w:w="5800"/>
            <w:shd w:fill="FFFFFF" w:val="clear"/>
            <w:tcMar>
              <w:top w:type="dxa" w:w="100"/>
              <w:left w:type="dxa" w:w="140"/>
              <w:bottom w:type="dxa" w:w="100"/>
              <w:right w:type="dxa" w:w="140"/>
            </w:tcMar>
          </w:tcPr>
          <w:p>
            <w:pPr>
              <w:spacing w:after="80" w:before="60"/>
            </w:pPr>
            <w:r>
              <w:rPr>
                <w:rFonts w:ascii="Arial" w:cs="Arial" w:eastAsia="Arial" w:hAnsi="Arial"/>
                <w:b/>
                <w:bCs/>
                <w:sz w:val="20"/>
                <w:szCs w:val="20"/>
              </w:rPr>
              <w:t xml:space="preserve">PHASE 3: Erarbeitung – Schlafstörer entdecken (25 Min.)</w:t>
            </w:r>
          </w:p>
          <w:p>
            <w:pPr>
              <w:spacing w:after="60" w:before="60"/>
            </w:pPr>
            <w:r>
              <w:rPr>
                <w:rFonts w:ascii="Arial" w:cs="Arial" w:eastAsia="Arial" w:hAnsi="Arial"/>
                <w:b/>
                <w:bCs/>
                <w:sz w:val="20"/>
                <w:szCs w:val="20"/>
              </w:rPr>
              <w:t xml:space="preserve">Ziel: </w:t>
            </w:r>
            <w:r>
              <w:rPr>
                <w:rFonts w:ascii="Arial" w:cs="Arial" w:eastAsia="Arial" w:hAnsi="Arial"/>
                <w:sz w:val="20"/>
                <w:szCs w:val="20"/>
              </w:rPr>
              <w:t xml:space="preserve">Vielfältige Schlafstörer erkennen, Selbstreflexion anstoßen</w:t>
            </w:r>
          </w:p>
          <w:p>
            <w:pPr>
              <w:spacing w:after="0" w:before="40"/>
            </w:pPr>
          </w:p>
          <w:p>
            <w:pPr>
              <w:spacing w:after="60" w:before="60"/>
            </w:pPr>
            <w:r>
              <w:rPr>
                <w:rFonts w:ascii="Arial" w:cs="Arial" w:eastAsia="Arial" w:hAnsi="Arial"/>
                <w:b/>
                <w:bCs/>
                <w:sz w:val="20"/>
                <w:szCs w:val="20"/>
              </w:rPr>
              <w:t xml:space="preserve">Stationenarbeit </w:t>
            </w:r>
            <w:r>
              <w:rPr>
                <w:rFonts w:ascii="Arial" w:cs="Arial" w:eastAsia="Arial" w:hAnsi="Arial"/>
                <w:sz w:val="20"/>
                <w:szCs w:val="20"/>
              </w:rPr>
              <w:t xml:space="preserve">(Gruppenrotation, je ca. 6 Min.) – vier Stationen:</w:t>
            </w:r>
          </w:p>
          <w:p>
            <w:pPr>
              <w:pStyle w:val="ListParagraph"/>
              <w:numPr>
                <w:ilvl w:val="0"/>
                <w:numId w:val="1"/>
              </w:numPr>
              <w:spacing w:after="30" w:before="30"/>
            </w:pPr>
            <w:r>
              <w:rPr>
                <w:rFonts w:ascii="Arial" w:cs="Arial" w:eastAsia="Arial" w:hAnsi="Arial"/>
                <w:sz w:val="19"/>
                <w:szCs w:val="19"/>
              </w:rPr>
              <w:t xml:space="preserve">Station A „Blaues Licht und seine Wirkung“ – Experiment Nachtmodus, Farbtemperatur (AB 2a)</w:t>
            </w:r>
          </w:p>
          <w:p>
            <w:pPr>
              <w:pStyle w:val="ListParagraph"/>
              <w:numPr>
                <w:ilvl w:val="0"/>
                <w:numId w:val="1"/>
              </w:numPr>
              <w:spacing w:after="30" w:before="30"/>
            </w:pPr>
            <w:r>
              <w:rPr>
                <w:rFonts w:ascii="Arial" w:cs="Arial" w:eastAsia="Arial" w:hAnsi="Arial"/>
                <w:sz w:val="19"/>
                <w:szCs w:val="19"/>
              </w:rPr>
              <w:t xml:space="preserve">Station B „Es ist nicht nur das Licht“ – Inhalte, Aufregung, FOMO und soziale Erreichbarkeit als Schlafstörer (AB 2b)</w:t>
            </w:r>
          </w:p>
          <w:p>
            <w:pPr>
              <w:pStyle w:val="ListParagraph"/>
              <w:numPr>
                <w:ilvl w:val="0"/>
                <w:numId w:val="1"/>
              </w:numPr>
              <w:spacing w:after="30" w:before="30"/>
            </w:pPr>
            <w:r>
              <w:rPr>
                <w:rFonts w:ascii="Arial" w:cs="Arial" w:eastAsia="Arial" w:hAnsi="Arial"/>
                <w:sz w:val="19"/>
                <w:szCs w:val="19"/>
              </w:rPr>
              <w:t xml:space="preserve">Station C „Warum ist Schlaf so wichtig?“ – Körper und Gehirn im Schlaf (AB 2c)</w:t>
            </w:r>
          </w:p>
          <w:p>
            <w:pPr>
              <w:pStyle w:val="ListParagraph"/>
              <w:numPr>
                <w:ilvl w:val="0"/>
                <w:numId w:val="1"/>
              </w:numPr>
              <w:spacing w:after="30" w:before="30"/>
            </w:pPr>
            <w:r>
              <w:rPr>
                <w:rFonts w:ascii="Arial" w:cs="Arial" w:eastAsia="Arial" w:hAnsi="Arial"/>
                <w:sz w:val="19"/>
                <w:szCs w:val="19"/>
              </w:rPr>
              <w:t xml:space="preserve">Station D „Mein Schlafprofil“ – Kurzfragebogen zur Selbsteinschätzung (AB 2d)</w:t>
            </w:r>
          </w:p>
          <w:p>
            <w:pPr>
              <w:spacing w:after="0" w:before="40"/>
            </w:pPr>
          </w:p>
          <w:p>
            <w:pPr>
              <w:spacing w:after="60" w:before="60"/>
            </w:pPr>
            <w:r>
              <w:rPr>
                <w:rFonts w:ascii="Arial" w:cs="Arial" w:eastAsia="Arial" w:hAnsi="Arial"/>
                <w:b/>
                <w:bCs/>
                <w:sz w:val="20"/>
                <w:szCs w:val="20"/>
              </w:rPr>
              <w:t xml:space="preserve">Gesundheitsbezug Station B: </w:t>
            </w:r>
            <w:r>
              <w:rPr>
                <w:rFonts w:ascii="Arial" w:cs="Arial" w:eastAsia="Arial" w:hAnsi="Arial"/>
                <w:sz w:val="20"/>
                <w:szCs w:val="20"/>
              </w:rPr>
              <w:t xml:space="preserve">Explizit aufnehmen, dass soziale Erwartungen – ständige Erreichbarkeit in Chatgruppen, Gruppendruck zu nächtlicher Online-Aktivität – den Schlaf als soziale Gesundheitskomponente beeinflussen.</w:t>
            </w:r>
          </w:p>
        </w:tc>
        <w:tc>
          <w:tcPr>
            <w:tcW w:type="dxa" w:w="3560"/>
            <w:shd w:fill="FFFEF0" w:val="clear"/>
            <w:tcMar>
              <w:top w:type="dxa" w:w="100"/>
              <w:left w:type="dxa" w:w="140"/>
              <w:bottom w:type="dxa" w:w="100"/>
              <w:right w:type="dxa" w:w="140"/>
            </w:tcMar>
          </w:tcPr>
          <w:p>
            <w:pPr>
              <w:spacing w:after="30" w:before="60"/>
            </w:pPr>
            <w:r>
              <w:rPr>
                <w:rFonts w:ascii="Arial" w:cs="Arial" w:eastAsia="Arial" w:hAnsi="Arial"/>
                <w:b/>
                <w:bCs/>
                <w:sz w:val="20"/>
                <w:szCs w:val="20"/>
              </w:rPr>
              <w:t xml:space="preserve">Sek I: </w:t>
            </w:r>
          </w:p>
          <w:p>
            <w:pPr>
              <w:spacing w:after="60" w:before="60"/>
            </w:pPr>
            <w:r>
              <w:rPr>
                <w:rFonts w:ascii="Arial" w:cs="Arial" w:eastAsia="Arial" w:hAnsi="Arial"/>
                <w:sz w:val="20"/>
                <w:szCs w:val="20"/>
              </w:rPr>
              <w:t xml:space="preserve">Fokus auf konkrete Alltagsbeispiele und einfache Sprache.</w:t>
            </w:r>
          </w:p>
          <w:p>
            <w:pPr>
              <w:spacing w:after="0" w:before="40"/>
            </w:pPr>
          </w:p>
          <w:p>
            <w:pPr>
              <w:spacing w:after="30" w:before="60"/>
            </w:pPr>
            <w:r>
              <w:rPr>
                <w:rFonts w:ascii="Arial" w:cs="Arial" w:eastAsia="Arial" w:hAnsi="Arial"/>
                <w:b/>
                <w:bCs/>
                <w:sz w:val="20"/>
                <w:szCs w:val="20"/>
              </w:rPr>
              <w:t xml:space="preserve">Sek II: </w:t>
            </w:r>
          </w:p>
          <w:p>
            <w:pPr>
              <w:spacing w:after="60" w:before="60"/>
            </w:pPr>
            <w:r>
              <w:rPr>
                <w:rFonts w:ascii="Arial" w:cs="Arial" w:eastAsia="Arial" w:hAnsi="Arial"/>
                <w:sz w:val="20"/>
                <w:szCs w:val="20"/>
              </w:rPr>
              <w:t xml:space="preserve">Zusätzlich wissenschaftliche Studien lesen und bewerten.</w:t>
            </w:r>
          </w:p>
        </w:tc>
      </w:tr>
      <w:tr>
        <w:tc>
          <w:tcPr>
            <w:tcW w:type="dxa" w:w="9360"/>
            <w:gridSpan w:val="2"/>
            <w:tcBorders>
              <w:top w:val="single" w:color="FFD700" w:sz="4"/>
              <w:left w:val="single" w:color="FFD700" w:sz="4"/>
              <w:bottom w:val="single" w:color="FFD700" w:sz="4"/>
              <w:right w:val="single" w:color="FFD700" w:sz="4"/>
            </w:tcBorders>
            <w:shd w:fill="FFF9C4" w:val="clear"/>
            <w:tcMar>
              <w:top w:type="dxa" w:w="80"/>
              <w:left w:type="dxa" w:w="140"/>
              <w:bottom w:type="dxa" w:w="80"/>
              <w:right w:type="dxa" w:w="140"/>
            </w:tcMar>
          </w:tcPr>
          <w:p>
            <w:pPr>
              <w:spacing w:after="60" w:before="60"/>
            </w:pPr>
            <w:r>
              <w:rPr>
                <w:rFonts w:ascii="Arial" w:cs="Arial" w:eastAsia="Arial" w:hAnsi="Arial"/>
                <w:b/>
                <w:bCs/>
                <w:sz w:val="20"/>
                <w:szCs w:val="20"/>
              </w:rPr>
              <w:t xml:space="preserve">INFOBOX // Chronotyp und Schulbeginn</w:t>
            </w:r>
          </w:p>
          <w:p>
            <w:pPr>
              <w:spacing w:after="60" w:before="60"/>
            </w:pPr>
            <w:r>
              <w:rPr>
                <w:rFonts w:ascii="Arial" w:cs="Arial" w:eastAsia="Arial" w:hAnsi="Arial"/>
                <w:b/>
                <w:bCs/>
                <w:sz w:val="20"/>
                <w:szCs w:val="20"/>
              </w:rPr>
              <w:t xml:space="preserve">Wusstest du das?  </w:t>
            </w:r>
            <w:r>
              <w:rPr>
                <w:rFonts w:ascii="Arial" w:cs="Arial" w:eastAsia="Arial" w:hAnsi="Arial"/>
                <w:sz w:val="20"/>
                <w:szCs w:val="20"/>
              </w:rPr>
              <w:t xml:space="preserve">Teenager schlafen von Natur aus später ein und wachen später auf – das ist biologisch bedingt (Chronotyp). Früher Schulbeginn trifft auf einen entwicklungsbedingt verschobenen Schlafrhythmus – Schlafmangel ist die Folge. Bildschirmnutzung am Abend verstärkt diesen Effekt zusätzlich.</w:t>
            </w:r>
          </w:p>
          <w:p>
            <w:pPr>
              <w:spacing w:after="60" w:before="60"/>
            </w:pPr>
            <w:r>
              <w:rPr>
                <w:rFonts w:ascii="Arial" w:cs="Arial" w:eastAsia="Arial" w:hAnsi="Arial"/>
                <w:b/>
                <w:bCs/>
                <w:sz w:val="20"/>
                <w:szCs w:val="20"/>
              </w:rPr>
              <w:t xml:space="preserve">Lehrkraft-Hinweis: </w:t>
            </w:r>
            <w:r>
              <w:rPr>
                <w:rFonts w:ascii="Arial" w:cs="Arial" w:eastAsia="Arial" w:hAnsi="Arial"/>
                <w:sz w:val="20"/>
                <w:szCs w:val="20"/>
              </w:rPr>
              <w:t xml:space="preserve">Dieser Aspekt kann entlasten – Jugendliche sind nicht „faul“, sondern biologisch anders getaktet.</w:t>
            </w:r>
          </w:p>
        </w:tc>
      </w:tr>
      <w:tr>
        <w:tc>
          <w:tcPr>
            <w:tcW w:type="dxa" w:w="5800"/>
            <w:shd w:fill="FFFFFF" w:val="clear"/>
            <w:tcMar>
              <w:top w:type="dxa" w:w="100"/>
              <w:left w:type="dxa" w:w="140"/>
              <w:bottom w:type="dxa" w:w="100"/>
              <w:right w:type="dxa" w:w="140"/>
            </w:tcMar>
          </w:tcPr>
          <w:p>
            <w:pPr>
              <w:spacing w:after="80" w:before="60"/>
            </w:pPr>
            <w:r>
              <w:rPr>
                <w:rFonts w:ascii="Arial" w:cs="Arial" w:eastAsia="Arial" w:hAnsi="Arial"/>
                <w:b/>
                <w:bCs/>
                <w:sz w:val="20"/>
                <w:szCs w:val="20"/>
              </w:rPr>
              <w:t xml:space="preserve">PHASE 4: Vertiefung – Mein Abendritual entwickeln (20 Min.)</w:t>
            </w:r>
          </w:p>
          <w:p>
            <w:pPr>
              <w:spacing w:after="60" w:before="60"/>
            </w:pPr>
            <w:r>
              <w:rPr>
                <w:rFonts w:ascii="Arial" w:cs="Arial" w:eastAsia="Arial" w:hAnsi="Arial"/>
                <w:b/>
                <w:bCs/>
                <w:sz w:val="20"/>
                <w:szCs w:val="20"/>
              </w:rPr>
              <w:t xml:space="preserve">Ziel: </w:t>
            </w:r>
            <w:r>
              <w:rPr>
                <w:rFonts w:ascii="Arial" w:cs="Arial" w:eastAsia="Arial" w:hAnsi="Arial"/>
                <w:sz w:val="20"/>
                <w:szCs w:val="20"/>
              </w:rPr>
              <w:t xml:space="preserve">Handlungsstrategien entwickeln, persönliche Veränderung planen</w:t>
            </w:r>
          </w:p>
          <w:p>
            <w:pPr>
              <w:spacing w:after="0" w:before="40"/>
            </w:pPr>
          </w:p>
          <w:p>
            <w:pPr>
              <w:spacing w:after="60" w:before="60"/>
            </w:pPr>
            <w:r>
              <w:rPr>
                <w:rFonts w:ascii="Arial" w:cs="Arial" w:eastAsia="Arial" w:hAnsi="Arial"/>
                <w:sz w:val="20"/>
                <w:szCs w:val="20"/>
              </w:rPr>
              <w:t xml:space="preserve">Impuls: „Was könnte helfen?“ – Brainstorming zu bildschirmfreien Abendritualen in Partnerarbeit (AB 3).</w:t>
            </w:r>
          </w:p>
          <w:p>
            <w:pPr>
              <w:spacing w:after="0" w:before="40"/>
            </w:pPr>
          </w:p>
          <w:p>
            <w:pPr>
              <w:spacing w:after="60" w:before="60"/>
            </w:pPr>
            <w:r>
              <w:rPr>
                <w:rFonts w:ascii="Arial" w:cs="Arial" w:eastAsia="Arial" w:hAnsi="Arial"/>
                <w:sz w:val="20"/>
                <w:szCs w:val="20"/>
              </w:rPr>
              <w:t xml:space="preserve">In Einzelarbeit entwickelt jede:r ein persönliches Abendritual (30–60 Min. vor dem Schlafen) auf Arbeitsblatt 4 – mit konkreten Bausteinen für die eigene Abendroutine.</w:t>
            </w:r>
          </w:p>
          <w:p>
            <w:pPr>
              <w:spacing w:after="0" w:before="40"/>
            </w:pPr>
          </w:p>
          <w:p>
            <w:pPr>
              <w:spacing w:after="60" w:before="60"/>
            </w:pPr>
            <w:r>
              <w:rPr>
                <w:rFonts w:ascii="Arial" w:cs="Arial" w:eastAsia="Arial" w:hAnsi="Arial"/>
                <w:sz w:val="20"/>
                <w:szCs w:val="20"/>
              </w:rPr>
              <w:t xml:space="preserve">Im Plenum: Vorstellung der „Bildschirmfrei-Challenge“ – eine Woche lang das eigene Schlafverhalten beobachten und im Schlafprotokoll (AB 5) dokumentieren.</w:t>
            </w:r>
          </w:p>
        </w:tc>
        <w:tc>
          <w:tcPr>
            <w:tcW w:type="dxa" w:w="3560"/>
            <w:shd w:fill="FFFEF0" w:val="clear"/>
            <w:tcMar>
              <w:top w:type="dxa" w:w="100"/>
              <w:left w:type="dxa" w:w="140"/>
              <w:bottom w:type="dxa" w:w="100"/>
              <w:right w:type="dxa" w:w="140"/>
            </w:tcMar>
          </w:tcPr>
          <w:p>
            <w:pPr>
              <w:spacing w:after="30" w:before="60"/>
            </w:pPr>
            <w:r>
              <w:rPr>
                <w:rFonts w:ascii="Arial" w:cs="Arial" w:eastAsia="Arial" w:hAnsi="Arial"/>
                <w:b/>
                <w:bCs/>
                <w:sz w:val="20"/>
                <w:szCs w:val="20"/>
              </w:rPr>
              <w:t xml:space="preserve">Sek I: </w:t>
            </w:r>
          </w:p>
          <w:p>
            <w:pPr>
              <w:spacing w:after="60" w:before="60"/>
            </w:pPr>
            <w:r>
              <w:rPr>
                <w:rFonts w:ascii="Arial" w:cs="Arial" w:eastAsia="Arial" w:hAnsi="Arial"/>
                <w:sz w:val="20"/>
                <w:szCs w:val="20"/>
              </w:rPr>
              <w:t xml:space="preserve">Vorstrukturiertes Protokoll, konkrete Ritualvorschläge zum Ankreuzen.</w:t>
            </w:r>
          </w:p>
          <w:p>
            <w:pPr>
              <w:spacing w:after="0" w:before="40"/>
            </w:pPr>
          </w:p>
          <w:p>
            <w:pPr>
              <w:spacing w:after="30" w:before="60"/>
            </w:pPr>
            <w:r>
              <w:rPr>
                <w:rFonts w:ascii="Arial" w:cs="Arial" w:eastAsia="Arial" w:hAnsi="Arial"/>
                <w:b/>
                <w:bCs/>
                <w:sz w:val="20"/>
                <w:szCs w:val="20"/>
              </w:rPr>
              <w:t xml:space="preserve">Sek II: </w:t>
            </w:r>
          </w:p>
          <w:p>
            <w:pPr>
              <w:spacing w:after="60" w:before="60"/>
            </w:pPr>
            <w:r>
              <w:rPr>
                <w:rFonts w:ascii="Arial" w:cs="Arial" w:eastAsia="Arial" w:hAnsi="Arial"/>
                <w:sz w:val="20"/>
                <w:szCs w:val="20"/>
              </w:rPr>
              <w:t xml:space="preserve">Offenes Protokoll, eigene Hypothesen formulieren und testen: „Was verändert sich, wenn ich 60 Min. vor dem Schlafen keinen Bildschirm nutze?“</w:t>
            </w:r>
          </w:p>
        </w:tc>
      </w:tr>
      <w:tr>
        <w:tc>
          <w:tcPr>
            <w:tcW w:type="dxa" w:w="9360"/>
            <w:gridSpan w:val="2"/>
            <w:tcBorders>
              <w:top w:val="single" w:color="FFD700" w:sz="4"/>
              <w:left w:val="single" w:color="FFD700" w:sz="4"/>
              <w:bottom w:val="single" w:color="FFD700" w:sz="4"/>
              <w:right w:val="single" w:color="FFD700" w:sz="4"/>
            </w:tcBorders>
            <w:shd w:fill="FFF9C4" w:val="clear"/>
            <w:tcMar>
              <w:top w:type="dxa" w:w="80"/>
              <w:left w:type="dxa" w:w="140"/>
              <w:bottom w:type="dxa" w:w="80"/>
              <w:right w:type="dxa" w:w="140"/>
            </w:tcMar>
          </w:tcPr>
          <w:p>
            <w:pPr>
              <w:spacing w:after="60" w:before="60"/>
            </w:pPr>
            <w:r>
              <w:rPr>
                <w:rFonts w:ascii="Arial" w:cs="Arial" w:eastAsia="Arial" w:hAnsi="Arial"/>
                <w:b/>
                <w:bCs/>
                <w:sz w:val="20"/>
                <w:szCs w:val="20"/>
              </w:rPr>
              <w:t xml:space="preserve">INFOBOX // Schlaf-Apps: Hilfreich oder kontraproduktiv?</w:t>
            </w:r>
          </w:p>
          <w:p>
            <w:pPr>
              <w:spacing w:after="60" w:before="60"/>
            </w:pPr>
            <w:r>
              <w:rPr>
                <w:rFonts w:ascii="Arial" w:cs="Arial" w:eastAsia="Arial" w:hAnsi="Arial"/>
                <w:b/>
                <w:bCs/>
                <w:sz w:val="20"/>
                <w:szCs w:val="20"/>
              </w:rPr>
              <w:t xml:space="preserve">⚠ Aufgepasst!  </w:t>
            </w:r>
            <w:r>
              <w:rPr>
                <w:rFonts w:ascii="Arial" w:cs="Arial" w:eastAsia="Arial" w:hAnsi="Arial"/>
                <w:sz w:val="20"/>
                <w:szCs w:val="20"/>
              </w:rPr>
              <w:t xml:space="preserve">Schlaf-Apps messen Schlafqualität über Bewegung und Geräusche – sie sind kein medizinisches Gerät und können erheblich von tatsächlichen Schlafwerten abweichen. Wichtig: Das Handy vor dem Schlafen einzuschalten, um den Schlaf zu „messen“, widerspricht dem Ziel, Bildschirmzeit am Abend zu reduzieren. Wer seinen Schlaf reflektieren möchte, kann das einfach mit einem schriftlichen Tagebuch tun.</w:t>
            </w:r>
          </w:p>
        </w:tc>
      </w:tr>
      <w:tr>
        <w:tc>
          <w:tcPr>
            <w:tcW w:type="dxa" w:w="5800"/>
            <w:shd w:fill="FFFFFF" w:val="clear"/>
            <w:tcMar>
              <w:top w:type="dxa" w:w="100"/>
              <w:left w:type="dxa" w:w="140"/>
              <w:bottom w:type="dxa" w:w="100"/>
              <w:right w:type="dxa" w:w="140"/>
            </w:tcMar>
          </w:tcPr>
          <w:p>
            <w:pPr>
              <w:spacing w:after="80" w:before="60"/>
            </w:pPr>
            <w:r>
              <w:rPr>
                <w:rFonts w:ascii="Arial" w:cs="Arial" w:eastAsia="Arial" w:hAnsi="Arial"/>
                <w:b/>
                <w:bCs/>
                <w:sz w:val="20"/>
                <w:szCs w:val="20"/>
              </w:rPr>
              <w:t xml:space="preserve">PHASE 5: Transfer – Mein erster Schritt (10 Min.)</w:t>
            </w:r>
          </w:p>
          <w:p>
            <w:pPr>
              <w:spacing w:after="60" w:before="60"/>
            </w:pPr>
            <w:r>
              <w:rPr>
                <w:rFonts w:ascii="Arial" w:cs="Arial" w:eastAsia="Arial" w:hAnsi="Arial"/>
                <w:b/>
                <w:bCs/>
                <w:sz w:val="20"/>
                <w:szCs w:val="20"/>
              </w:rPr>
              <w:t xml:space="preserve">Ziel: </w:t>
            </w:r>
            <w:r>
              <w:rPr>
                <w:rFonts w:ascii="Arial" w:cs="Arial" w:eastAsia="Arial" w:hAnsi="Arial"/>
                <w:sz w:val="20"/>
                <w:szCs w:val="20"/>
              </w:rPr>
              <w:t xml:space="preserve">Persönlichen Transfer sichern, Selbstverpflichtung fördern</w:t>
            </w:r>
          </w:p>
          <w:p>
            <w:pPr>
              <w:spacing w:after="0" w:before="40"/>
            </w:pPr>
          </w:p>
          <w:p>
            <w:pPr>
              <w:spacing w:after="60" w:before="60"/>
            </w:pPr>
            <w:r>
              <w:rPr>
                <w:rFonts w:ascii="Arial" w:cs="Arial" w:eastAsia="Arial" w:hAnsi="Arial"/>
                <w:sz w:val="20"/>
                <w:szCs w:val="20"/>
              </w:rPr>
              <w:t xml:space="preserve">Positionierung entlang einer Meinungslinie: „Ich werde heute Abend mein Handy früher weglegen.“ – Hürden und Lösungsideen werden im Plenum besprochen: Was hindert mich? Was könnte helfen?</w:t>
            </w:r>
          </w:p>
          <w:p>
            <w:pPr>
              <w:spacing w:after="0" w:before="40"/>
            </w:pPr>
          </w:p>
          <w:p>
            <w:pPr>
              <w:spacing w:after="60" w:before="60"/>
            </w:pPr>
            <w:r>
              <w:rPr>
                <w:rFonts w:ascii="Arial" w:cs="Arial" w:eastAsia="Arial" w:hAnsi="Arial"/>
                <w:sz w:val="20"/>
                <w:szCs w:val="20"/>
              </w:rPr>
              <w:t xml:space="preserve">In Einzelarbeit notiert jede:r auf einem Notizzettel: „Mein erster Schritt für besseren Schlaf“ – anonym, für sich behalten.</w:t>
            </w:r>
          </w:p>
        </w:tc>
        <w:tc>
          <w:tcPr>
            <w:tcW w:type="dxa" w:w="3560"/>
            <w:shd w:fill="FFFEF0" w:val="clear"/>
            <w:tcMar>
              <w:top w:type="dxa" w:w="100"/>
              <w:left w:type="dxa" w:w="140"/>
              <w:bottom w:type="dxa" w:w="100"/>
              <w:right w:type="dxa" w:w="140"/>
            </w:tcMar>
          </w:tcPr>
          <w:p>
            <w:pPr>
              <w:spacing w:after="30" w:before="60"/>
            </w:pPr>
            <w:r>
              <w:rPr>
                <w:rFonts w:ascii="Arial" w:cs="Arial" w:eastAsia="Arial" w:hAnsi="Arial"/>
                <w:b/>
                <w:bCs/>
                <w:sz w:val="20"/>
                <w:szCs w:val="20"/>
              </w:rPr>
              <w:t xml:space="preserve">Sek I: </w:t>
            </w:r>
          </w:p>
          <w:p>
            <w:pPr>
              <w:spacing w:after="60" w:before="60"/>
            </w:pPr>
            <w:r>
              <w:rPr>
                <w:rFonts w:ascii="Arial" w:cs="Arial" w:eastAsia="Arial" w:hAnsi="Arial"/>
                <w:sz w:val="20"/>
                <w:szCs w:val="20"/>
              </w:rPr>
              <w:t xml:space="preserve">Fokus auf persönliche Ebene, kleine konkrete Schritte.</w:t>
            </w:r>
          </w:p>
          <w:p>
            <w:pPr>
              <w:spacing w:after="0" w:before="40"/>
            </w:pPr>
          </w:p>
          <w:p>
            <w:pPr>
              <w:spacing w:after="30" w:before="60"/>
            </w:pPr>
            <w:r>
              <w:rPr>
                <w:rFonts w:ascii="Arial" w:cs="Arial" w:eastAsia="Arial" w:hAnsi="Arial"/>
                <w:b/>
                <w:bCs/>
                <w:sz w:val="20"/>
                <w:szCs w:val="20"/>
              </w:rPr>
              <w:t xml:space="preserve">Sek II: </w:t>
            </w:r>
          </w:p>
          <w:p>
            <w:pPr>
              <w:spacing w:after="60" w:before="60"/>
            </w:pPr>
            <w:r>
              <w:rPr>
                <w:rFonts w:ascii="Arial" w:cs="Arial" w:eastAsia="Arial" w:hAnsi="Arial"/>
                <w:sz w:val="20"/>
                <w:szCs w:val="20"/>
              </w:rPr>
              <w:t xml:space="preserve">Zusätzlich: Diskussion über gesellschaftliche Dimension – Always-on-Kultur, Erreichbarkeitserwartungen, Arbeitswelt.</w:t>
            </w:r>
          </w:p>
        </w:tc>
      </w:tr>
      <w:tr>
        <w:tc>
          <w:tcPr>
            <w:tcW w:type="dxa" w:w="5800"/>
            <w:shd w:fill="FFFFFF" w:val="clear"/>
            <w:tcMar>
              <w:top w:type="dxa" w:w="100"/>
              <w:left w:type="dxa" w:w="140"/>
              <w:bottom w:type="dxa" w:w="100"/>
              <w:right w:type="dxa" w:w="140"/>
            </w:tcMar>
          </w:tcPr>
          <w:p>
            <w:pPr>
              <w:spacing w:after="80" w:before="60"/>
            </w:pPr>
            <w:r>
              <w:rPr>
                <w:rFonts w:ascii="Arial" w:cs="Arial" w:eastAsia="Arial" w:hAnsi="Arial"/>
                <w:b/>
                <w:bCs/>
                <w:sz w:val="20"/>
                <w:szCs w:val="20"/>
              </w:rPr>
              <w:t xml:space="preserve">PHASE 6: Reflexion &amp; Follow-up (10 Min. + optional 15 Min. nach 1–2 Wochen)</w:t>
            </w:r>
          </w:p>
          <w:p>
            <w:pPr>
              <w:spacing w:after="60" w:before="60"/>
            </w:pPr>
            <w:r>
              <w:rPr>
                <w:rFonts w:ascii="Arial" w:cs="Arial" w:eastAsia="Arial" w:hAnsi="Arial"/>
                <w:b/>
                <w:bCs/>
                <w:sz w:val="20"/>
                <w:szCs w:val="20"/>
              </w:rPr>
              <w:t xml:space="preserve">Ziel: </w:t>
            </w:r>
            <w:r>
              <w:rPr>
                <w:rFonts w:ascii="Arial" w:cs="Arial" w:eastAsia="Arial" w:hAnsi="Arial"/>
                <w:sz w:val="20"/>
                <w:szCs w:val="20"/>
              </w:rPr>
              <w:t xml:space="preserve">Lernprozess reflektieren, Erfahrungen mit dem Schlafprotokoll verankern</w:t>
            </w:r>
          </w:p>
          <w:p>
            <w:pPr>
              <w:spacing w:after="0" w:before="40"/>
            </w:pPr>
          </w:p>
          <w:p>
            <w:pPr>
              <w:spacing w:after="60" w:before="60"/>
            </w:pPr>
            <w:r>
              <w:rPr>
                <w:rFonts w:ascii="Arial" w:cs="Arial" w:eastAsia="Arial" w:hAnsi="Arial"/>
                <w:sz w:val="20"/>
                <w:szCs w:val="20"/>
              </w:rPr>
              <w:t xml:space="preserve">Abschlussrunde im Plenum: „Was nehme ich heute mit? Was überrascht mich?“ – Offene Runde ohne Produkt, Lernrückblick.</w:t>
            </w:r>
          </w:p>
          <w:p>
            <w:pPr>
              <w:spacing w:after="0" w:before="40"/>
            </w:pPr>
          </w:p>
          <w:p>
            <w:pPr>
              <w:spacing w:after="60" w:before="60"/>
            </w:pPr>
            <w:r>
              <w:rPr>
                <w:rFonts w:ascii="Arial" w:cs="Arial" w:eastAsia="Arial" w:hAnsi="Arial"/>
                <w:sz w:val="20"/>
                <w:szCs w:val="20"/>
              </w:rPr>
              <w:t xml:space="preserve">Hinweis auf die Schlafprotokoll-Auswertung in einer Folgestunde.</w:t>
            </w:r>
          </w:p>
          <w:p>
            <w:pPr>
              <w:spacing w:after="0" w:before="40"/>
            </w:pPr>
          </w:p>
          <w:p>
            <w:pPr>
              <w:spacing w:after="60" w:before="60"/>
            </w:pPr>
            <w:r>
              <w:rPr>
                <w:rFonts w:ascii="Arial" w:cs="Arial" w:eastAsia="Arial" w:hAnsi="Arial"/>
                <w:b/>
                <w:bCs/>
                <w:sz w:val="20"/>
                <w:szCs w:val="20"/>
              </w:rPr>
              <w:t xml:space="preserve">Follow-up (ca. 15 Min., nach 1–2 Wochen): </w:t>
            </w:r>
            <w:r>
              <w:rPr>
                <w:rFonts w:ascii="Arial" w:cs="Arial" w:eastAsia="Arial" w:hAnsi="Arial"/>
                <w:sz w:val="20"/>
                <w:szCs w:val="20"/>
              </w:rPr>
              <w:t xml:space="preserve">Auswertung der Schlafprotokolle – Vergleich „Mit Handy ins Bett“ vs. „Handyfreie Stunde vorher“. Erfahrungsaustausch zur Bildschirmfrei-Challenge. Optional: Kurze Mentimeter-Umfrage zum Vergleich mit dem Einstieg.</w:t>
            </w:r>
          </w:p>
        </w:tc>
        <w:tc>
          <w:tcPr>
            <w:tcW w:type="dxa" w:w="3560"/>
            <w:shd w:fill="FFFEF0" w:val="clear"/>
            <w:tcMar>
              <w:top w:type="dxa" w:w="100"/>
              <w:left w:type="dxa" w:w="140"/>
              <w:bottom w:type="dxa" w:w="100"/>
              <w:right w:type="dxa" w:w="140"/>
            </w:tcMar>
          </w:tcPr>
          <w:p>
            <w:pPr>
              <w:spacing w:after="60" w:before="60"/>
            </w:pPr>
            <w:r>
              <w:rPr>
                <w:rFonts w:ascii="Arial" w:cs="Arial" w:eastAsia="Arial" w:hAnsi="Arial"/>
                <w:sz w:val="20"/>
                <w:szCs w:val="20"/>
              </w:rPr>
              <w:t xml:space="preserve"/>
            </w:r>
          </w:p>
        </w:tc>
      </w:tr>
    </w:tbl>
    <w:p>
      <w:pPr>
        <w:spacing w:after="200" w:before="200"/>
      </w:pPr>
    </w:p>
    <w:p>
      <w:pPr>
        <w:spacing w:after="40" w:before="120"/>
        <w:jc w:val="center"/>
      </w:pPr>
      <w:r>
        <w:rPr>
          <w:rFonts w:ascii="Arial" w:cs="Arial" w:eastAsia="Arial" w:hAnsi="Arial"/>
          <w:i/>
          <w:iCs/>
          <w:color w:val="888888"/>
          <w:sz w:val="18"/>
          <w:szCs w:val="18"/>
        </w:rPr>
        <w:t xml:space="preserve">DURCHBLICKT! – Digital in eine gesunde Zukunft  |  BARMER / Klett MEX</w:t>
      </w:r>
    </w:p>
    <w:p>
      <w:pPr>
        <w:spacing w:after="0" w:before="0"/>
        <w:jc w:val="center"/>
      </w:pPr>
      <w:r>
        <w:rPr>
          <w:rFonts w:ascii="Arial" w:cs="Arial" w:eastAsia="Arial" w:hAnsi="Arial"/>
          <w:i/>
          <w:iCs/>
          <w:color w:val="888888"/>
          <w:sz w:val="18"/>
          <w:szCs w:val="18"/>
        </w:rPr>
        <w:t xml:space="preserve">Genehmigungsvorlage LH4 „Schlaf gut!“  |  Autor: Michael Kohl  |  März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2026-03-27T07:37:51.838Z</dcterms:created>
  <dcterms:modified xsi:type="dcterms:W3CDTF">2026-03-27T07:37:51.838Z</dcterms:modified>
</cp:coreProperties>
</file>

<file path=docProps/custom.xml><?xml version="1.0" encoding="utf-8"?>
<Properties xmlns="http://schemas.openxmlformats.org/officeDocument/2006/custom-properties" xmlns:vt="http://schemas.openxmlformats.org/officeDocument/2006/docPropsVTypes"/>
</file>