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A749" w14:textId="41F2BCB9" w:rsidR="00C45BDE" w:rsidRPr="00C45BDE" w:rsidRDefault="00C45BDE" w:rsidP="00C45BDE">
      <w:r w:rsidRPr="00C45BDE">
        <w:t>LH3 – AB 3</w:t>
      </w:r>
    </w:p>
    <w:p w14:paraId="34F37669" w14:textId="77777777" w:rsidR="00C45BDE" w:rsidRPr="00C45BDE" w:rsidRDefault="00C45BDE" w:rsidP="00C45BDE">
      <w:r w:rsidRPr="00C45BDE">
        <w:rPr>
          <w:b/>
          <w:bCs/>
        </w:rPr>
        <w:t>Einsetzen als Ersatz für die bestehenden Quellen-Abschnitte in AB 3a–3d</w:t>
      </w:r>
    </w:p>
    <w:p w14:paraId="7B125A48" w14:textId="77777777" w:rsidR="00C45BDE" w:rsidRPr="00C45BDE" w:rsidRDefault="00C45BDE" w:rsidP="00C45BDE">
      <w:r w:rsidRPr="00C45BDE">
        <w:rPr>
          <w:i/>
          <w:iCs/>
        </w:rPr>
        <w:t>Ziel: Lernende haben alle nötigen Infos direkt auf dem Blatt – keine Recherche notwendig.</w:t>
      </w:r>
    </w:p>
    <w:p w14:paraId="0A1E6895" w14:textId="183ED72E" w:rsidR="00C45BDE" w:rsidRPr="00C45BDE" w:rsidRDefault="00C45BDE" w:rsidP="00C45BDE"/>
    <w:p w14:paraId="4B9EC94F" w14:textId="77777777" w:rsidR="00C45BDE" w:rsidRPr="00C45BDE" w:rsidRDefault="00C45BDE" w:rsidP="00C45BDE">
      <w:pPr>
        <w:rPr>
          <w:b/>
          <w:bCs/>
        </w:rPr>
      </w:pPr>
      <w:r w:rsidRPr="00C45BDE">
        <w:rPr>
          <w:b/>
          <w:bCs/>
        </w:rPr>
        <w:t>AB 3a: „Detox-Tee entgiftet deinen Körper"</w:t>
      </w:r>
    </w:p>
    <w:p w14:paraId="31553DC2" w14:textId="77777777" w:rsidR="00C45BDE" w:rsidRPr="00C45BDE" w:rsidRDefault="00C45BDE" w:rsidP="00C45BDE">
      <w:r w:rsidRPr="00C45BDE">
        <w:rPr>
          <w:b/>
          <w:bCs/>
        </w:rPr>
        <w:t>Quelle A – Herstellerwebsite (purelifer-wellness.com)</w:t>
      </w:r>
    </w:p>
    <w:p w14:paraId="2E2F1099" w14:textId="77777777" w:rsidR="00C45BDE" w:rsidRPr="00C45BDE" w:rsidRDefault="00C45BDE" w:rsidP="00C45BDE">
      <w:r w:rsidRPr="00C45BDE">
        <w:t>Die Webseite gehört dem Unternehmen, das den Tee verkauft. Dort steht: Der Tee „entgiftet deinen Körper", „regt den Stoffwechsel an" und soll in 2 Wochen bis zu 3 Kilo Gewichtsverlust bringen. Als Belege werden 12.000 positive Kundenbewertungen genannt – überprüft oder unabhängig geprüft wurden diese nicht. Das Unternehmen verdient Geld, wenn das Produkt gekauft wird.</w:t>
      </w:r>
    </w:p>
    <w:p w14:paraId="34A4075C" w14:textId="77777777" w:rsidR="00C45BDE" w:rsidRPr="00C45BDE" w:rsidRDefault="00C45BDE" w:rsidP="00C45BDE">
      <w:r w:rsidRPr="00C45BDE">
        <w:rPr>
          <w:b/>
          <w:bCs/>
        </w:rPr>
        <w:t>Quelle B – Bundeszentrale für gesundheitliche Aufklärung (BZgA), staatliche Gesundheitsbehörde</w:t>
      </w:r>
    </w:p>
    <w:p w14:paraId="13BB3169" w14:textId="77777777" w:rsidR="00C45BDE" w:rsidRPr="00C45BDE" w:rsidRDefault="00C45BDE" w:rsidP="00C45BDE">
      <w:r w:rsidRPr="00C45BDE">
        <w:t xml:space="preserve">„Der menschliche Körper verfügt über ein hocheffizientes Entgiftungssystem. Leber und Nieren filtern täglich Hunderte von Fremdstoffen und Stoffwechselabfällen aus dem Blut. Die Nieren allein reinigen das gesamte Blutvolumen rund 25-mal pro Tag. Kein Lebensmittel, kein Tee und kein Nahrungsergänzungsmittel </w:t>
      </w:r>
      <w:proofErr w:type="gramStart"/>
      <w:r w:rsidRPr="00C45BDE">
        <w:t>kann</w:t>
      </w:r>
      <w:proofErr w:type="gramEnd"/>
      <w:r w:rsidRPr="00C45BDE">
        <w:t xml:space="preserve"> diesen Prozess ersetzen oder wesentlich verbessern. Der Begriff ‚Entgiften' hat in der Medizin eine genaue Bedeutung (z. B. bei Vergiftungen). Als Wellness-Begriff ist er nicht definiert und wissenschaftlich nicht belegt."</w:t>
      </w:r>
    </w:p>
    <w:p w14:paraId="6F7DB5E2" w14:textId="77777777" w:rsidR="00C45BDE" w:rsidRPr="00C45BDE" w:rsidRDefault="00C45BDE" w:rsidP="00C45BDE">
      <w:r w:rsidRPr="00C45BDE">
        <w:rPr>
          <w:b/>
          <w:bCs/>
        </w:rPr>
        <w:t>Quelle C – Stiftung Warentest (test.de), unabhängige Verbraucherorganisation</w:t>
      </w:r>
    </w:p>
    <w:p w14:paraId="44B7A36D" w14:textId="77777777" w:rsidR="00C45BDE" w:rsidRPr="00C45BDE" w:rsidRDefault="00C45BDE" w:rsidP="00C45BDE">
      <w:r w:rsidRPr="00C45BDE">
        <w:t>Die Stiftung Warentest hat mehrere Detox-Produkte (Tees, Kuren, Shakes) untersucht. Ergebnis: „Für keine dieser Produkte gibt es einen wissenschaftlichen Beleg für eine Entgiftungswirkung." Kurzfristiger Gewichtsverlust bei Detox-Kuren ist laut Stiftung Warentest fast immer Wasserverlust – das Gewicht kommt zurück, sobald die Kur endet. Einige Detox-Tees enthalten pflanzliche Abführmittel (z. B. Sennoside), die bei regelmäßiger Einnahme die Darmflora schädigen können.</w:t>
      </w:r>
    </w:p>
    <w:p w14:paraId="6CF5B6D7" w14:textId="77777777" w:rsidR="00C45BDE" w:rsidRPr="00C45BDE" w:rsidRDefault="00C45BDE" w:rsidP="00C45BDE">
      <w:r w:rsidRPr="00C45BDE">
        <w:rPr>
          <w:b/>
          <w:bCs/>
        </w:rPr>
        <w:t>Quelle D – 12.000 Kundenbewertungen auf der Herstellerseite</w:t>
      </w:r>
    </w:p>
    <w:p w14:paraId="2974570F" w14:textId="77777777" w:rsidR="00C45BDE" w:rsidRPr="00C45BDE" w:rsidRDefault="00C45BDE" w:rsidP="00C45BDE">
      <w:r w:rsidRPr="00C45BDE">
        <w:t xml:space="preserve">Alle Bewertungen stammen von der eigenen Webseite des Herstellers. Das Unternehmen kann entscheiden, welche Bewertungen veröffentlicht werden. Es gibt keine unabhängige Kontrolle. Hinzu kommt: Wer hofft, dass ein Produkt hilft, nimmt häufig eine Verbesserung wahr – auch wenn das Produkt gar nicht wirkt. Das nennt man </w:t>
      </w:r>
      <w:r w:rsidRPr="00C45BDE">
        <w:rPr>
          <w:b/>
          <w:bCs/>
        </w:rPr>
        <w:t>Placebo-Effekt</w:t>
      </w:r>
      <w:r w:rsidRPr="00C45BDE">
        <w:t>. Ohne eine Vergleichsgruppe (Menschen, die keinen Tee trinken) lässt sich nicht sagen, ob die Wirkung vom Tee oder von der Erwartung kommt.</w:t>
      </w:r>
    </w:p>
    <w:p w14:paraId="6F3CA526" w14:textId="6F93D216" w:rsidR="00C45BDE" w:rsidRPr="00C45BDE" w:rsidRDefault="00C45BDE" w:rsidP="00C45BDE"/>
    <w:p w14:paraId="6F3F2F0F" w14:textId="77777777" w:rsidR="00C45BDE" w:rsidRPr="00C45BDE" w:rsidRDefault="00C45BDE" w:rsidP="00C45BDE">
      <w:pPr>
        <w:rPr>
          <w:b/>
          <w:bCs/>
        </w:rPr>
      </w:pPr>
      <w:r w:rsidRPr="00C45BDE">
        <w:rPr>
          <w:b/>
          <w:bCs/>
        </w:rPr>
        <w:t>AB 3b: „8 Gläser Wasser pro Tag sind Pflicht"</w:t>
      </w:r>
    </w:p>
    <w:p w14:paraId="40C354BA" w14:textId="77777777" w:rsidR="00C45BDE" w:rsidRPr="00C45BDE" w:rsidRDefault="00C45BDE" w:rsidP="00C45BDE">
      <w:pPr>
        <w:rPr>
          <w:lang w:val="en-US"/>
        </w:rPr>
      </w:pPr>
      <w:r w:rsidRPr="00C45BDE">
        <w:rPr>
          <w:b/>
          <w:bCs/>
          <w:lang w:val="en-US"/>
        </w:rPr>
        <w:t>Quelle A – @</w:t>
      </w:r>
      <w:proofErr w:type="gramStart"/>
      <w:r w:rsidRPr="00C45BDE">
        <w:rPr>
          <w:b/>
          <w:bCs/>
          <w:lang w:val="en-US"/>
        </w:rPr>
        <w:t>healthtips.daily</w:t>
      </w:r>
      <w:proofErr w:type="gramEnd"/>
      <w:r w:rsidRPr="00C45BDE">
        <w:rPr>
          <w:b/>
          <w:bCs/>
          <w:lang w:val="en-US"/>
        </w:rPr>
        <w:t xml:space="preserve"> (TikTok, 230.000 Follower)</w:t>
      </w:r>
    </w:p>
    <w:p w14:paraId="20962A28" w14:textId="77777777" w:rsidR="00C45BDE" w:rsidRPr="00C45BDE" w:rsidRDefault="00C45BDE" w:rsidP="00C45BDE">
      <w:r w:rsidRPr="00C45BDE">
        <w:t xml:space="preserve">Der Account gibt keine fachliche Qualifikation an. Im Profil befindet sich ein Affiliate-Link zu einer Wasserflasche: Der Account verdient Geld, wenn Follower darüber kaufen. </w:t>
      </w:r>
      <w:r w:rsidRPr="00C45BDE">
        <w:lastRenderedPageBreak/>
        <w:t>Quellenangaben für die „Experten-Empfehlung" fehlen vollständig. Die Aussage „chronischer Wassermangel macht müde, unkonzentriert und krank" wird nicht belegt.</w:t>
      </w:r>
    </w:p>
    <w:p w14:paraId="00C7FB6B" w14:textId="77777777" w:rsidR="00C45BDE" w:rsidRPr="00C45BDE" w:rsidRDefault="00C45BDE" w:rsidP="00C45BDE">
      <w:r w:rsidRPr="00C45BDE">
        <w:rPr>
          <w:b/>
          <w:bCs/>
        </w:rPr>
        <w:t>Quelle B – Deutsche Gesellschaft für Ernährung (DGE), wissenschaftliche Fachgesellschaft</w:t>
      </w:r>
    </w:p>
    <w:p w14:paraId="1304F28B" w14:textId="77777777" w:rsidR="00C45BDE" w:rsidRPr="00C45BDE" w:rsidRDefault="00C45BDE" w:rsidP="00C45BDE">
      <w:r w:rsidRPr="00C45BDE">
        <w:t>„Der tägliche Flüssigkeitsbedarf ist individuell und hängt von mehreren Faktoren ab: Körpergröße und -gewicht, körperliche Aktivität, Außentemperatur und die aufgenommene Nahrung. Wer viel Obst, Gemüse oder Suppen isst, nimmt bereits viel Flüssigkeit über die Ernährung auf. Die DGE nennt ca. 1,5 Liter Wasser pro Tag als Orientierungswert für Erwachsene – aber ausdrücklich als Richtwert, nicht als feste Regel. Bei Sport oder Hitze kann der Bedarf auf 2–3 Liter und mehr steigen. Eine pauschale Empfehlung von ‚8 Gläsern täglich für alle' ist eine Vereinfachung, die den individuellen Bedarf nicht abbildet."</w:t>
      </w:r>
    </w:p>
    <w:p w14:paraId="1540CBC3" w14:textId="77777777" w:rsidR="00C45BDE" w:rsidRPr="00C45BDE" w:rsidRDefault="00C45BDE" w:rsidP="00C45BDE">
      <w:r w:rsidRPr="00C45BDE">
        <w:rPr>
          <w:b/>
          <w:bCs/>
        </w:rPr>
        <w:t>Quelle C – British Medical Journal (Heinz &amp; Campbell, 2002), internationale Medizinfachzeitschrift</w:t>
      </w:r>
    </w:p>
    <w:p w14:paraId="71D5ABFD" w14:textId="77777777" w:rsidR="00C45BDE" w:rsidRPr="00C45BDE" w:rsidRDefault="00C45BDE" w:rsidP="00C45BDE">
      <w:r w:rsidRPr="00C45BDE">
        <w:t xml:space="preserve">Die Wissenschaftler haben nachgeforscht, woher die „8 Gläser"-Regel überhaupt stammt. Ergebnis: Sie geht auf einen US-Ernährungsbericht aus dem Jahr </w:t>
      </w:r>
      <w:r w:rsidRPr="00C45BDE">
        <w:rPr>
          <w:b/>
          <w:bCs/>
        </w:rPr>
        <w:t>1945</w:t>
      </w:r>
      <w:r w:rsidRPr="00C45BDE">
        <w:t xml:space="preserve"> zurück. Im Originaltext stand auch: </w:t>
      </w:r>
      <w:r w:rsidRPr="00C45BDE">
        <w:rPr>
          <w:i/>
          <w:iCs/>
        </w:rPr>
        <w:t>„Den größten Teil dieser Menge nehmen Menschen über Mahlzeiten auf."</w:t>
      </w:r>
      <w:r w:rsidRPr="00C45BDE">
        <w:t xml:space="preserve"> – Dieser entscheidende Satz wurde bei der späteren Verbreitung regelmäßig weggelassen. Die Forscher fanden </w:t>
      </w:r>
      <w:r w:rsidRPr="00C45BDE">
        <w:rPr>
          <w:b/>
          <w:bCs/>
        </w:rPr>
        <w:t>keine solide wissenschaftliche Grundlage</w:t>
      </w:r>
      <w:r w:rsidRPr="00C45BDE">
        <w:t xml:space="preserve"> für die genaue Zahl von 8 Gläsern. Die Empfehlung hat sich durch Wiederholung in der Populärkultur verfestigt – nicht durch Forschung.</w:t>
      </w:r>
    </w:p>
    <w:p w14:paraId="3CFB9590" w14:textId="77777777" w:rsidR="00C45BDE" w:rsidRPr="00C45BDE" w:rsidRDefault="00C45BDE" w:rsidP="00C45BDE">
      <w:r w:rsidRPr="00C45BDE">
        <w:rPr>
          <w:b/>
          <w:bCs/>
        </w:rPr>
        <w:t>Quelle D – Bundesinstitut für Risikobewertung (BfR), staatliche Wissenschaftsbehörde</w:t>
      </w:r>
    </w:p>
    <w:p w14:paraId="1AA58DE1" w14:textId="77777777" w:rsidR="00C45BDE" w:rsidRPr="00C45BDE" w:rsidRDefault="00C45BDE" w:rsidP="00C45BDE">
      <w:r w:rsidRPr="00C45BDE">
        <w:t>„Bei gesunden Erwachsenen ist das Durstgefühl ein verlässlicher Anzeiger für Flüssigkeitsmangel. Der Körper signalisiert rechtzeitig, wenn er Wasser braucht. Ausnahmen: Bei älteren Menschen (ab ca. 60 Jahren) lässt das Durstgefühl nach – sie sollten regelmäßig trinken, auch ohne Durst. Leistungssportler:innen bei Extrembelastung benötigen deutlich mehr als im Alltag. Für gesunde Menschen im Normalfall gilt: Wer über den eigenen Durst hinaus trinkt, hat keinen nachgewiesenen Gesundheitsnutzen. Im Gegenteil: Übermäßiges Trinken kann in seltenen Fällen zu einer gefährlichen Verdünnung des Blutes führen."</w:t>
      </w:r>
    </w:p>
    <w:p w14:paraId="4C532BEA" w14:textId="77777777" w:rsidR="00C45BDE" w:rsidRPr="00C45BDE" w:rsidRDefault="00C45BDE" w:rsidP="00C45BDE">
      <w:pPr>
        <w:rPr>
          <w:b/>
          <w:bCs/>
        </w:rPr>
      </w:pPr>
      <w:r w:rsidRPr="00C45BDE">
        <w:rPr>
          <w:b/>
          <w:bCs/>
        </w:rPr>
        <w:t>AB 3c: „Zucker macht Kinder hyperaktiv"</w:t>
      </w:r>
    </w:p>
    <w:p w14:paraId="0279AEB4" w14:textId="77777777" w:rsidR="00C45BDE" w:rsidRPr="00C45BDE" w:rsidRDefault="00C45BDE" w:rsidP="00C45BDE">
      <w:r w:rsidRPr="00C45BDE">
        <w:rPr>
          <w:b/>
          <w:bCs/>
        </w:rPr>
        <w:t>Quelle A – Facebook-Kommentarsektion (3.200 Likes, 450 Kommentare)</w:t>
      </w:r>
    </w:p>
    <w:p w14:paraId="112FF06E" w14:textId="77777777" w:rsidR="00C45BDE" w:rsidRPr="00C45BDE" w:rsidRDefault="00C45BDE" w:rsidP="00C45BDE">
      <w:r w:rsidRPr="00C45BDE">
        <w:t xml:space="preserve">Alle 450 Kommentare sind Erlebnisberichte von Eltern – keine ist eine wissenschaftliche Studie. Fast alle stimmen zu: „Das sehe ich bei meinem Kind auch immer!" Das ist ein Beispiel für </w:t>
      </w:r>
      <w:r w:rsidRPr="00C45BDE">
        <w:rPr>
          <w:b/>
          <w:bCs/>
        </w:rPr>
        <w:t>sozialen Beweis</w:t>
      </w:r>
      <w:r w:rsidRPr="00C45BDE">
        <w:t>: Wenn viele Menschen dasselbe berichten, wirkt es wie eine Bestätigung. Aber: Es bedeutet nur, dass dieser Glaube weit verbreitet ist – nicht, dass er stimmt. Niemand hat in diesen Kommentaren eine Kontrollbedingung überprüft (</w:t>
      </w:r>
      <w:proofErr w:type="gramStart"/>
      <w:r w:rsidRPr="00C45BDE">
        <w:t>z. B.</w:t>
      </w:r>
      <w:proofErr w:type="gramEnd"/>
      <w:r w:rsidRPr="00C45BDE">
        <w:t xml:space="preserve"> ob das Kind sich genauso verhalten hätte, wenn es keinen Zucker bekommen hätte).</w:t>
      </w:r>
    </w:p>
    <w:p w14:paraId="40568864" w14:textId="77777777" w:rsidR="00C45BDE" w:rsidRPr="00C45BDE" w:rsidRDefault="00C45BDE" w:rsidP="00C45BDE">
      <w:r w:rsidRPr="00C45BDE">
        <w:rPr>
          <w:b/>
          <w:bCs/>
        </w:rPr>
        <w:t>Quelle B – Hoover, Milich et al. (1994), Journal of Abnormal Child Psychology, Fachzeitschrift für Kinderpsychologie</w:t>
      </w:r>
    </w:p>
    <w:p w14:paraId="52BB4702" w14:textId="77777777" w:rsidR="00C45BDE" w:rsidRPr="00C45BDE" w:rsidRDefault="00C45BDE" w:rsidP="00C45BDE">
      <w:r w:rsidRPr="00C45BDE">
        <w:t xml:space="preserve">In dieser </w:t>
      </w:r>
      <w:r w:rsidRPr="00C45BDE">
        <w:rPr>
          <w:b/>
          <w:bCs/>
        </w:rPr>
        <w:t>Doppelblindstudie</w:t>
      </w:r>
      <w:r w:rsidRPr="00C45BDE">
        <w:t xml:space="preserve"> bekamen 35 Jungen zufällig entweder ein zuckerhaltiges oder ein zuckerfreies Getränk – weder die Kinder noch ihre Mütter wussten, was sie bekommen hatten. Außerdem wurde der Hälfte der Mütter gesagt, ihr Kind habe Zucker bekommen (was nicht stimmte).</w:t>
      </w:r>
    </w:p>
    <w:p w14:paraId="759FFA08" w14:textId="77777777" w:rsidR="00C45BDE" w:rsidRPr="00C45BDE" w:rsidRDefault="00C45BDE" w:rsidP="00C45BDE">
      <w:r w:rsidRPr="00C45BDE">
        <w:t>Ergebnisse:</w:t>
      </w:r>
    </w:p>
    <w:p w14:paraId="1547EABD" w14:textId="77777777" w:rsidR="00C45BDE" w:rsidRPr="00C45BDE" w:rsidRDefault="00C45BDE" w:rsidP="00C45BDE">
      <w:pPr>
        <w:numPr>
          <w:ilvl w:val="0"/>
          <w:numId w:val="1"/>
        </w:numPr>
      </w:pPr>
      <w:r w:rsidRPr="00C45BDE">
        <w:lastRenderedPageBreak/>
        <w:t xml:space="preserve">Das </w:t>
      </w:r>
      <w:r w:rsidRPr="00C45BDE">
        <w:rPr>
          <w:b/>
          <w:bCs/>
        </w:rPr>
        <w:t>tatsächliche Verhalten</w:t>
      </w:r>
      <w:r w:rsidRPr="00C45BDE">
        <w:t xml:space="preserve"> der Kinder unterschied sich zwischen den Gruppen </w:t>
      </w:r>
      <w:r w:rsidRPr="00C45BDE">
        <w:rPr>
          <w:b/>
          <w:bCs/>
        </w:rPr>
        <w:t>nicht</w:t>
      </w:r>
      <w:r w:rsidRPr="00C45BDE">
        <w:t>.</w:t>
      </w:r>
    </w:p>
    <w:p w14:paraId="03050272" w14:textId="77777777" w:rsidR="00C45BDE" w:rsidRPr="00C45BDE" w:rsidRDefault="00C45BDE" w:rsidP="00C45BDE">
      <w:pPr>
        <w:numPr>
          <w:ilvl w:val="0"/>
          <w:numId w:val="1"/>
        </w:numPr>
      </w:pPr>
      <w:r w:rsidRPr="00C45BDE">
        <w:t xml:space="preserve">Mütter, die glaubten, ihr Kind habe Zucker bekommen, schätzten es als </w:t>
      </w:r>
      <w:r w:rsidRPr="00C45BDE">
        <w:rPr>
          <w:b/>
          <w:bCs/>
        </w:rPr>
        <w:t>hyperaktiver</w:t>
      </w:r>
      <w:r w:rsidRPr="00C45BDE">
        <w:t xml:space="preserve"> ein – und verhielten sich kritischer – obwohl das Kind gar keinen Zucker hatte.</w:t>
      </w:r>
    </w:p>
    <w:p w14:paraId="723B8236" w14:textId="77777777" w:rsidR="00C45BDE" w:rsidRPr="00C45BDE" w:rsidRDefault="00C45BDE" w:rsidP="00C45BDE">
      <w:r w:rsidRPr="00C45BDE">
        <w:t xml:space="preserve">Das nennt man </w:t>
      </w:r>
      <w:r w:rsidRPr="00C45BDE">
        <w:rPr>
          <w:b/>
          <w:bCs/>
        </w:rPr>
        <w:t>Nocebo-Effekt</w:t>
      </w:r>
      <w:r w:rsidRPr="00C45BDE">
        <w:t>: Die Erwartung einer negativen Wirkung beeinflusst die Wahrnehmung, obwohl keine echte Wirkung vorliegt.</w:t>
      </w:r>
    </w:p>
    <w:p w14:paraId="31D303E1" w14:textId="77777777" w:rsidR="00C45BDE" w:rsidRPr="00C45BDE" w:rsidRDefault="00C45BDE" w:rsidP="00C45BDE">
      <w:r w:rsidRPr="00C45BDE">
        <w:rPr>
          <w:b/>
          <w:bCs/>
        </w:rPr>
        <w:t>Quelle C – Deutsche Gesellschaft für Psychiatrie und Psychotherapie (DGPPN), medizinische Fachgesellschaft</w:t>
      </w:r>
    </w:p>
    <w:p w14:paraId="0748909B" w14:textId="77777777" w:rsidR="00C45BDE" w:rsidRPr="00C45BDE" w:rsidRDefault="00C45BDE" w:rsidP="00C45BDE">
      <w:r w:rsidRPr="00C45BDE">
        <w:t>„Es gibt keinen wissenschaftlichen Beleg für einen Zusammenhang zwischen Zuckerkonsum und Hyperaktivität bei Kindern. Aufmerksamkeitsdefizit-Hyperaktivitätsstörung (ADHS) ist eine neurobiologische Erkrankung – sie entsteht durch die Art, wie das Gehirn Botenstoffe wie Dopamin verarbeitet. Ernährung verursacht ADHS nicht. Mehrere Übersichtsarbeiten, die viele Studien zusammengefasst haben, kommen zum selben Schluss: Der Mythos ist wissenschaftlich widerlegt."</w:t>
      </w:r>
    </w:p>
    <w:p w14:paraId="04BDD012" w14:textId="77777777" w:rsidR="00C45BDE" w:rsidRPr="00C45BDE" w:rsidRDefault="00C45BDE" w:rsidP="00C45BDE">
      <w:r w:rsidRPr="00C45BDE">
        <w:rPr>
          <w:b/>
          <w:bCs/>
        </w:rPr>
        <w:t>Quelle D – Harvard Health Publishing, Gesundheitsredaktion der Harvard Medical School</w:t>
      </w:r>
    </w:p>
    <w:p w14:paraId="00E3E59C" w14:textId="77777777" w:rsidR="00C45BDE" w:rsidRPr="00C45BDE" w:rsidRDefault="00C45BDE" w:rsidP="00C45BDE">
      <w:r w:rsidRPr="00C45BDE">
        <w:t xml:space="preserve">„Kinder bekommen Zucker typischerweise auf Geburtstagen, Festen und Feiertagen. Diese Situationen sind von Aufregung, vielen Gleichaltrigen, ungewöhnlichen Abläufen und häufig Schlafmangel geprägt. All diese Faktoren erklären das auffällige Verhalten – nicht der Zucker. In der Forschung nennt man störende Zusatzfaktoren </w:t>
      </w:r>
      <w:r w:rsidRPr="00C45BDE">
        <w:rPr>
          <w:b/>
          <w:bCs/>
        </w:rPr>
        <w:t>Störvariablen</w:t>
      </w:r>
      <w:r w:rsidRPr="00C45BDE">
        <w:t xml:space="preserve"> (Confounding Variables). Das Beispiel zeigt außerdem: </w:t>
      </w:r>
      <w:r w:rsidRPr="00C45BDE">
        <w:rPr>
          <w:b/>
          <w:bCs/>
        </w:rPr>
        <w:t>Korrelation ist keine Kausalität.</w:t>
      </w:r>
      <w:r w:rsidRPr="00C45BDE">
        <w:t xml:space="preserve"> Zucker und aufgeregtes Verhalten treten auf Festen gemeinsam auf – das bedeutet nicht, dass eines das andere verursacht. Auch Luftballons treten auf Festen auf, ohne Hyperaktivität auszulösen."</w:t>
      </w:r>
    </w:p>
    <w:p w14:paraId="15D798BD" w14:textId="77777777" w:rsidR="00C45BDE" w:rsidRPr="00C45BDE" w:rsidRDefault="00C45BDE" w:rsidP="00C45BDE">
      <w:pPr>
        <w:rPr>
          <w:b/>
          <w:bCs/>
        </w:rPr>
      </w:pPr>
      <w:r w:rsidRPr="00C45BDE">
        <w:rPr>
          <w:b/>
          <w:bCs/>
        </w:rPr>
        <w:t>AB 3d: „Vitamin C schützt zuverlässig vor Erkältungen"</w:t>
      </w:r>
    </w:p>
    <w:p w14:paraId="4C63B378" w14:textId="77777777" w:rsidR="00C45BDE" w:rsidRPr="00C45BDE" w:rsidRDefault="00C45BDE" w:rsidP="00C45BDE">
      <w:pPr>
        <w:rPr>
          <w:lang w:val="en-US"/>
        </w:rPr>
      </w:pPr>
      <w:r w:rsidRPr="00C45BDE">
        <w:rPr>
          <w:b/>
          <w:bCs/>
          <w:lang w:val="en-US"/>
        </w:rPr>
        <w:t>Quelle A – @vitaminqueen (Instagram, 18.000 Follower)</w:t>
      </w:r>
    </w:p>
    <w:p w14:paraId="27E8DBD6" w14:textId="77777777" w:rsidR="00C45BDE" w:rsidRPr="00C45BDE" w:rsidRDefault="00C45BDE" w:rsidP="00C45BDE">
      <w:r w:rsidRPr="00C45BDE">
        <w:t xml:space="preserve">Der Account gibt keine medizinische Qualifikation an. Im Profil befindet sich ein Rabattcode für ein Vitamin-C-Präparat: Der Account bekommt Geld für jeden Kauf über diesen Code. Das ist ein </w:t>
      </w:r>
      <w:r w:rsidRPr="00C45BDE">
        <w:rPr>
          <w:b/>
          <w:bCs/>
        </w:rPr>
        <w:t>kommerzielles Interesse</w:t>
      </w:r>
      <w:r w:rsidRPr="00C45BDE">
        <w:t xml:space="preserve">, das die Darstellung beeinflusst. Der Hauptbeleg ist: „Ich persönlich hatte seit Jahren keine Erkältung mehr." Das ist eine </w:t>
      </w:r>
      <w:r w:rsidRPr="00C45BDE">
        <w:rPr>
          <w:b/>
          <w:bCs/>
        </w:rPr>
        <w:t>Anekdote</w:t>
      </w:r>
      <w:r w:rsidRPr="00C45BDE">
        <w:t xml:space="preserve"> – ein persönlicher Erfahrungsbericht ohne Vergleichsgruppe. Der Post enthält keine Angabe, welche Studie gemeint ist, wenn es heißt „Studien beweisen".</w:t>
      </w:r>
    </w:p>
    <w:p w14:paraId="460543E7" w14:textId="029ACF56" w:rsidR="00C45BDE" w:rsidRPr="00C45BDE" w:rsidRDefault="00C45BDE" w:rsidP="00C45BDE">
      <w:r>
        <w:rPr>
          <w:b/>
          <w:bCs/>
        </w:rPr>
        <w:t>Q</w:t>
      </w:r>
      <w:r w:rsidRPr="00C45BDE">
        <w:rPr>
          <w:b/>
          <w:bCs/>
        </w:rPr>
        <w:t>uelle B – Cochrane Review (Hemilä &amp; Chalker, 2013, aktualisiert 2023)</w:t>
      </w:r>
    </w:p>
    <w:p w14:paraId="530AC025" w14:textId="77777777" w:rsidR="00C45BDE" w:rsidRPr="00C45BDE" w:rsidRDefault="00C45BDE" w:rsidP="00C45BDE">
      <w:r w:rsidRPr="00C45BDE">
        <w:t xml:space="preserve">Ein </w:t>
      </w:r>
      <w:r w:rsidRPr="00C45BDE">
        <w:rPr>
          <w:b/>
          <w:bCs/>
        </w:rPr>
        <w:t>Cochrane Review</w:t>
      </w:r>
      <w:r w:rsidRPr="00C45BDE">
        <w:t xml:space="preserve"> ist die verlässlichste Form wissenschaftlicher Beweise in der Medizin: Dabei werden alle verfügbaren Studien zu einem Thema gesammelt und gemeinsam ausgewertet. Dieser Review umfasste </w:t>
      </w:r>
      <w:r w:rsidRPr="00C45BDE">
        <w:rPr>
          <w:b/>
          <w:bCs/>
        </w:rPr>
        <w:t>29 Studien mit über 11.000 Teilnehmer:innen</w:t>
      </w:r>
      <w:r w:rsidRPr="00C45BDE">
        <w:t>.</w:t>
      </w:r>
    </w:p>
    <w:p w14:paraId="5E7A335E" w14:textId="77777777" w:rsidR="00C45BDE" w:rsidRPr="00C45BDE" w:rsidRDefault="00C45BDE" w:rsidP="00C45BDE">
      <w:r w:rsidRPr="00C45BDE">
        <w:t>Ergebnisse:</w:t>
      </w:r>
    </w:p>
    <w:p w14:paraId="11117485" w14:textId="77777777" w:rsidR="00C45BDE" w:rsidRPr="00C45BDE" w:rsidRDefault="00C45BDE" w:rsidP="00C45BDE">
      <w:pPr>
        <w:numPr>
          <w:ilvl w:val="0"/>
          <w:numId w:val="2"/>
        </w:numPr>
      </w:pPr>
      <w:r w:rsidRPr="00C45BDE">
        <w:t xml:space="preserve">Bei normalen Erwachsenen reduziert Vitamin C die </w:t>
      </w:r>
      <w:r w:rsidRPr="00C45BDE">
        <w:rPr>
          <w:b/>
          <w:bCs/>
        </w:rPr>
        <w:t>Häufigkeit</w:t>
      </w:r>
      <w:r w:rsidRPr="00C45BDE">
        <w:t xml:space="preserve"> von Erkältungen </w:t>
      </w:r>
      <w:r w:rsidRPr="00C45BDE">
        <w:rPr>
          <w:b/>
          <w:bCs/>
        </w:rPr>
        <w:t>nicht</w:t>
      </w:r>
      <w:r w:rsidRPr="00C45BDE">
        <w:t>.</w:t>
      </w:r>
    </w:p>
    <w:p w14:paraId="65AFBDD9" w14:textId="77777777" w:rsidR="00C45BDE" w:rsidRPr="00C45BDE" w:rsidRDefault="00C45BDE" w:rsidP="00C45BDE">
      <w:pPr>
        <w:numPr>
          <w:ilvl w:val="0"/>
          <w:numId w:val="2"/>
        </w:numPr>
      </w:pPr>
      <w:r w:rsidRPr="00C45BDE">
        <w:t xml:space="preserve">Die </w:t>
      </w:r>
      <w:r w:rsidRPr="00C45BDE">
        <w:rPr>
          <w:b/>
          <w:bCs/>
        </w:rPr>
        <w:t>Dauer</w:t>
      </w:r>
      <w:r w:rsidRPr="00C45BDE">
        <w:t xml:space="preserve"> einer Erkältung verkürzt sich minimal – im Schnitt um etwa einen halben Tag.</w:t>
      </w:r>
    </w:p>
    <w:p w14:paraId="22131C21" w14:textId="77777777" w:rsidR="00C45BDE" w:rsidRPr="00C45BDE" w:rsidRDefault="00C45BDE" w:rsidP="00C45BDE">
      <w:pPr>
        <w:numPr>
          <w:ilvl w:val="0"/>
          <w:numId w:val="2"/>
        </w:numPr>
      </w:pPr>
      <w:r w:rsidRPr="00C45BDE">
        <w:rPr>
          <w:b/>
          <w:bCs/>
        </w:rPr>
        <w:t>Ausnahme:</w:t>
      </w:r>
      <w:r w:rsidRPr="00C45BDE">
        <w:t xml:space="preserve"> Bei Marathonläufer:innen, Skiläufer:innen und Soldaten in extremer Kälte zeigte Vitamin C einen deutlicheren Schutzeffekt. Dieser gilt aber nur für Menschen in Extremsituationen – nicht für den Alltag.</w:t>
      </w:r>
    </w:p>
    <w:p w14:paraId="522ADFD9" w14:textId="77777777" w:rsidR="00C45BDE" w:rsidRPr="00C45BDE" w:rsidRDefault="00C45BDE" w:rsidP="00C45BDE">
      <w:r w:rsidRPr="00C45BDE">
        <w:lastRenderedPageBreak/>
        <w:t>Fazit der Forscher:innen: „Vitamin C schützt die allgemeine Bevölkerung nicht zuverlässig vor Erkältungen. Die Evidenz für breite Supplementierung ist schwach."</w:t>
      </w:r>
    </w:p>
    <w:p w14:paraId="45B04951" w14:textId="77777777" w:rsidR="00C45BDE" w:rsidRPr="00C45BDE" w:rsidRDefault="00C45BDE" w:rsidP="00C45BDE">
      <w:r w:rsidRPr="00C45BDE">
        <w:rPr>
          <w:b/>
          <w:bCs/>
        </w:rPr>
        <w:t>Quelle C – Bundeszentrale für gesundheitliche Aufklärung (BZgA), staatliche Gesundheitsbehörde</w:t>
      </w:r>
    </w:p>
    <w:p w14:paraId="16F971DC" w14:textId="77777777" w:rsidR="00C45BDE" w:rsidRPr="00C45BDE" w:rsidRDefault="00C45BDE" w:rsidP="00C45BDE">
      <w:r w:rsidRPr="00C45BDE">
        <w:t>„Eine Vitamin-C-Supplementierung (also zusätzliche Präparate) ist bei ausgewogener Ernährung in der Regel nicht notwendig. Gute natürliche Vitamin-C-Quellen sind: Paprika (besonders reich: ca. 140 mg pro 100 g), Zitrusfrüchte, Kiwis, Brokkoli und Kartoffeln. Der Tagesbedarf für Erwachsene liegt bei ca. 110 mg – das ist über normale Ernährung gut erreichbar. Ein echter Schutz vor Erkältungen durch Vitamin-C-Präparate ist wissenschaftlich nicht belegt. Hinweis: Bei dauerhafter Einnahme sehr hoher Dosen (über 1.000 mg täglich) können Magen-Darm-Beschwerden und in seltenen Fällen Nierensteine auftreten."</w:t>
      </w:r>
    </w:p>
    <w:p w14:paraId="43677236" w14:textId="77777777" w:rsidR="00C45BDE" w:rsidRPr="00C45BDE" w:rsidRDefault="00C45BDE" w:rsidP="00C45BDE">
      <w:r w:rsidRPr="00C45BDE">
        <w:rPr>
          <w:b/>
          <w:bCs/>
        </w:rPr>
        <w:t>Quelle D – Placebo-Studien (mehrere unabhängige Forschungsgruppen)</w:t>
      </w:r>
    </w:p>
    <w:p w14:paraId="72954AAB" w14:textId="77777777" w:rsidR="00C45BDE" w:rsidRPr="00C45BDE" w:rsidRDefault="00C45BDE" w:rsidP="00C45BDE">
      <w:r w:rsidRPr="00C45BDE">
        <w:t>In mehreren Studien wurde untersucht, ob der Nutzen von Vitamin C wirklich vom Wirkstoff kommt – oder von der Erwartung. Ergebnis: Personen, die glaubten, Vitamin C zu nehmen, berichteten bei Erkältungen über ein etwas besseres Wohlbefinden – unabhängig davon, ob das Präparat tatsächlich Vitamin C enthielt oder nur ein wirkungsloser Ersatzstoff (Placebo) war.</w:t>
      </w:r>
    </w:p>
    <w:p w14:paraId="645E8625" w14:textId="77777777" w:rsidR="00C45BDE" w:rsidRPr="00C45BDE" w:rsidRDefault="00C45BDE" w:rsidP="00C45BDE">
      <w:r w:rsidRPr="00C45BDE">
        <w:t xml:space="preserve">Das nennt man </w:t>
      </w:r>
      <w:r w:rsidRPr="00C45BDE">
        <w:rPr>
          <w:b/>
          <w:bCs/>
        </w:rPr>
        <w:t>Placebo-Effekt</w:t>
      </w:r>
      <w:r w:rsidRPr="00C45BDE">
        <w:t>: Die bloße Erwartung, dass etwas hilft, kann sich auf das subjektive Wohlbefinden auswirken. Das bedeutet: Wer sagt „Vitamin C hilft mir immer", erlebt das vielleicht wirklich so – aber der Grund ist möglicherweise nicht der Wirkstoff, sondern der Glaube daran. Persönliche Erfahrungen sind deshalb kein zuverlässiger Beweis für eine pharmakologische Wirkung.</w:t>
      </w:r>
    </w:p>
    <w:p w14:paraId="4CAC91F0" w14:textId="77777777" w:rsidR="00CD0E96" w:rsidRDefault="00CD0E96"/>
    <w:sectPr w:rsidR="00CD0E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944"/>
    <w:multiLevelType w:val="multilevel"/>
    <w:tmpl w:val="ECD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8778D"/>
    <w:multiLevelType w:val="multilevel"/>
    <w:tmpl w:val="7ED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22730">
    <w:abstractNumId w:val="1"/>
  </w:num>
  <w:num w:numId="2" w16cid:durableId="95683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BDE"/>
    <w:rsid w:val="003908C9"/>
    <w:rsid w:val="003E17C8"/>
    <w:rsid w:val="004B0E0A"/>
    <w:rsid w:val="00826C1B"/>
    <w:rsid w:val="00AC6620"/>
    <w:rsid w:val="00C45BDE"/>
    <w:rsid w:val="00CC516B"/>
    <w:rsid w:val="00CD0E96"/>
    <w:rsid w:val="00F45D0B"/>
    <w:rsid w:val="00FD71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47B1"/>
  <w15:chartTrackingRefBased/>
  <w15:docId w15:val="{7B2B7ADD-6D45-4D93-9184-A5C94E9E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before="160" w:after="80" w:line="259" w:lineRule="auto"/>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5BD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5BDE"/>
    <w:pPr>
      <w:keepNext/>
      <w:keepLines/>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5BDE"/>
    <w:pPr>
      <w:keepNext/>
      <w:keepLines/>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5B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5B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5BD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5BD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5BDE"/>
    <w:pPr>
      <w:keepNext/>
      <w:keepLines/>
      <w:spacing w:before="0"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5BDE"/>
    <w:pPr>
      <w:keepNext/>
      <w:keepLines/>
      <w:spacing w:before="0"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5B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5B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5B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5B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5B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5B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5B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5B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5BDE"/>
    <w:rPr>
      <w:rFonts w:eastAsiaTheme="majorEastAsia" w:cstheme="majorBidi"/>
      <w:color w:val="272727" w:themeColor="text1" w:themeTint="D8"/>
    </w:rPr>
  </w:style>
  <w:style w:type="paragraph" w:styleId="Titel">
    <w:name w:val="Title"/>
    <w:basedOn w:val="Standard"/>
    <w:next w:val="Standard"/>
    <w:link w:val="TitelZchn"/>
    <w:uiPriority w:val="10"/>
    <w:qFormat/>
    <w:rsid w:val="00C45BDE"/>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5B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5BD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5BD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5BDE"/>
    <w:pPr>
      <w:spacing w:after="160"/>
      <w:jc w:val="center"/>
    </w:pPr>
    <w:rPr>
      <w:i/>
      <w:iCs/>
      <w:color w:val="404040" w:themeColor="text1" w:themeTint="BF"/>
    </w:rPr>
  </w:style>
  <w:style w:type="character" w:customStyle="1" w:styleId="ZitatZchn">
    <w:name w:val="Zitat Zchn"/>
    <w:basedOn w:val="Absatz-Standardschriftart"/>
    <w:link w:val="Zitat"/>
    <w:uiPriority w:val="29"/>
    <w:rsid w:val="00C45BDE"/>
    <w:rPr>
      <w:i/>
      <w:iCs/>
      <w:color w:val="404040" w:themeColor="text1" w:themeTint="BF"/>
    </w:rPr>
  </w:style>
  <w:style w:type="paragraph" w:styleId="Listenabsatz">
    <w:name w:val="List Paragraph"/>
    <w:basedOn w:val="Standard"/>
    <w:uiPriority w:val="34"/>
    <w:qFormat/>
    <w:rsid w:val="00C45BDE"/>
    <w:pPr>
      <w:ind w:left="720"/>
      <w:contextualSpacing/>
    </w:pPr>
  </w:style>
  <w:style w:type="character" w:styleId="IntensiveHervorhebung">
    <w:name w:val="Intense Emphasis"/>
    <w:basedOn w:val="Absatz-Standardschriftart"/>
    <w:uiPriority w:val="21"/>
    <w:qFormat/>
    <w:rsid w:val="00C45BDE"/>
    <w:rPr>
      <w:i/>
      <w:iCs/>
      <w:color w:val="0F4761" w:themeColor="accent1" w:themeShade="BF"/>
    </w:rPr>
  </w:style>
  <w:style w:type="paragraph" w:styleId="IntensivesZitat">
    <w:name w:val="Intense Quote"/>
    <w:basedOn w:val="Standard"/>
    <w:next w:val="Standard"/>
    <w:link w:val="IntensivesZitatZchn"/>
    <w:uiPriority w:val="30"/>
    <w:qFormat/>
    <w:rsid w:val="00C45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5BDE"/>
    <w:rPr>
      <w:i/>
      <w:iCs/>
      <w:color w:val="0F4761" w:themeColor="accent1" w:themeShade="BF"/>
    </w:rPr>
  </w:style>
  <w:style w:type="character" w:styleId="IntensiverVerweis">
    <w:name w:val="Intense Reference"/>
    <w:basedOn w:val="Absatz-Standardschriftart"/>
    <w:uiPriority w:val="32"/>
    <w:qFormat/>
    <w:rsid w:val="00C45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1382</Words>
  <Characters>9138</Characters>
  <Application>Microsoft Office Word</Application>
  <DocSecurity>0</DocSecurity>
  <Lines>163</Lines>
  <Paragraphs>56</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1</cp:revision>
  <dcterms:created xsi:type="dcterms:W3CDTF">2026-05-20T19:37:00Z</dcterms:created>
  <dcterms:modified xsi:type="dcterms:W3CDTF">2026-05-20T19:40:00Z</dcterms:modified>
</cp:coreProperties>
</file>