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i w:val="0"/>
          <w:color w:val="333333"/>
          <w:sz w:val="36"/>
        </w:rPr>
        <w:t>DURCHBLICKT! – Lehrkräftehandreichung 3</w:t>
      </w:r>
    </w:p>
    <w:p>
      <w:pPr>
        <w:spacing w:before="0" w:after="80"/>
      </w:pPr>
      <w:r>
        <w:rPr>
          <w:rFonts w:ascii="Arial" w:hAnsi="Arial"/>
          <w:b/>
          <w:i w:val="0"/>
          <w:color w:val="333333"/>
          <w:sz w:val="28"/>
        </w:rPr>
        <w:t>„Gesundheitsmythen im Netz – Was stimmt wirklich?“</w:t>
      </w:r>
    </w:p>
    <w:p>
      <w:pPr>
        <w:spacing w:before="0" w:after="240"/>
      </w:pPr>
      <w:r>
        <w:rPr>
          <w:rFonts w:ascii="Arial" w:hAnsi="Arial"/>
          <w:b w:val="0"/>
          <w:i/>
          <w:color w:val="888888"/>
          <w:sz w:val="22"/>
        </w:rPr>
        <w:t>Re-Einreichung nach BARMER-Rückmeldung  |  Stand: 29.04.2026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Dokument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Grobkonzept Re-Einreichung (nach Phase-4b-Rückmeldung)</w:t>
            </w:r>
          </w:p>
        </w:tc>
      </w:tr>
      <w:tr>
        <w:tc>
          <w:tcPr>
            <w:tcW w:type="dxa" w:w="255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Autor</w:t>
            </w:r>
          </w:p>
        </w:tc>
        <w:tc>
          <w:tcPr>
            <w:tcW w:type="dxa" w:w="7087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Michael Kohl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Verlag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Klett MEX</w:t>
            </w:r>
          </w:p>
        </w:tc>
      </w:tr>
      <w:tr>
        <w:tc>
          <w:tcPr>
            <w:tcW w:type="dxa" w:w="255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Auftraggeber</w:t>
            </w:r>
          </w:p>
        </w:tc>
        <w:tc>
          <w:tcPr>
            <w:tcW w:type="dxa" w:w="7087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Zielgruppe</w:t>
            </w:r>
          </w:p>
        </w:tc>
        <w:tc>
          <w:tcPr>
            <w:tcW w:type="dxa" w:w="708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Lehrkräfte Sekundarstufe I + II (Grundschul-Erweiterung Phase 6a)</w:t>
            </w:r>
          </w:p>
        </w:tc>
      </w:tr>
      <w:tr>
        <w:tc>
          <w:tcPr>
            <w:tcW w:type="dxa" w:w="255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Dauer</w:t>
            </w:r>
          </w:p>
        </w:tc>
        <w:tc>
          <w:tcPr>
            <w:tcW w:type="dxa" w:w="7087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 Minuten (Doppelstunde)</w:t>
            </w:r>
          </w:p>
        </w:tc>
      </w:tr>
    </w:tbl>
    <w:p>
      <w:pPr>
        <w:spacing w:before="60" w:after="60"/>
      </w:pP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Änderungs-Log – BARMER-Feedback (Stand: 29.04.2026)</w:t>
      </w:r>
    </w:p>
    <w:p>
      <w:pPr>
        <w:spacing w:before="40" w:after="120"/>
      </w:pPr>
      <w:r>
        <w:rPr>
          <w:rFonts w:ascii="Arial" w:hAnsi="Arial"/>
          <w:b w:val="0"/>
          <w:i w:val="0"/>
          <w:sz w:val="22"/>
        </w:rPr>
        <w:t>Eingearbeitet aus den roten Anmerkungen unter Abschnitt 5 „Ablaufstruktur“ in der Genehmigungsvorlage. Quelle: BARMER (Kürzel wrf).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Nr.</w:t>
            </w:r>
          </w:p>
        </w:tc>
        <w:tc>
          <w:tcPr>
            <w:tcW w:type="dxa" w:w="1361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Quelle</w:t>
            </w:r>
          </w:p>
        </w:tc>
        <w:tc>
          <w:tcPr>
            <w:tcW w:type="dxa" w:w="2494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Feedback-Punkt</w:t>
            </w:r>
          </w:p>
        </w:tc>
        <w:tc>
          <w:tcPr>
            <w:tcW w:type="dxa" w:w="4535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Umsetzung</w:t>
            </w:r>
          </w:p>
        </w:tc>
        <w:tc>
          <w:tcPr>
            <w:tcW w:type="dxa" w:w="680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F1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 (wrf)</w:t>
            </w:r>
          </w:p>
        </w:tc>
        <w:tc>
          <w:tcPr>
            <w:tcW w:type="dxa" w:w="249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DURCHBLICKT!-QuellenChecker einbinden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Phase 3: Tool-Demo im Plenum + optionale Tool-Anwendung in der Gruppenarbeit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567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F2</w:t>
            </w:r>
          </w:p>
        </w:tc>
        <w:tc>
          <w:tcPr>
            <w:tcW w:type="dxa" w:w="136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 (wrf)</w:t>
            </w:r>
          </w:p>
        </w:tc>
        <w:tc>
          <w:tcPr>
            <w:tcW w:type="dxa" w:w="2494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Exkurs „Gesundheitsmythen und KI“</w:t>
            </w:r>
          </w:p>
        </w:tc>
        <w:tc>
          <w:tcPr>
            <w:tcW w:type="dxa" w:w="4535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Phase 2, Sek-II-Block: KI-generierte Falschinfos, Deepfakes, ChatGPT ohne Quellen</w:t>
            </w:r>
          </w:p>
        </w:tc>
        <w:tc>
          <w:tcPr>
            <w:tcW w:type="dxa" w:w="680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F3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 (wrf)</w:t>
            </w:r>
          </w:p>
        </w:tc>
        <w:tc>
          <w:tcPr>
            <w:tcW w:type="dxa" w:w="249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Liste vertrauenswürdiger Gesundheitsquellen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Phase 3 Mini-Infobox + neuer Abschnitt 7 als Lehrkraft-Referenz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567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F4</w:t>
            </w:r>
          </w:p>
        </w:tc>
        <w:tc>
          <w:tcPr>
            <w:tcW w:type="dxa" w:w="136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 (wrf)</w:t>
            </w:r>
          </w:p>
        </w:tc>
        <w:tc>
          <w:tcPr>
            <w:tcW w:type="dxa" w:w="2494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Illusory Truth Effect (Phase 2, Sek II)</w:t>
            </w:r>
          </w:p>
        </w:tc>
        <w:tc>
          <w:tcPr>
            <w:tcW w:type="dxa" w:w="4535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 Mechanismen-Liste der Sek-II-Spalte ergänzt, mit Kurzdefinition</w:t>
            </w:r>
          </w:p>
        </w:tc>
        <w:tc>
          <w:tcPr>
            <w:tcW w:type="dxa" w:w="680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F5</w:t>
            </w:r>
          </w:p>
        </w:tc>
        <w:tc>
          <w:tcPr>
            <w:tcW w:type="dxa" w:w="136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 (wrf)</w:t>
            </w:r>
          </w:p>
        </w:tc>
        <w:tc>
          <w:tcPr>
            <w:tcW w:type="dxa" w:w="2494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Mythen-Labor (von passiv zu aktiv)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Phase 6 Transfer als Sek-II-Variante (Sek I bleibt beim Quiz). Bewusste Umverortung von Phase 2 nach Phase 6.</w:t>
            </w:r>
          </w:p>
        </w:tc>
        <w:tc>
          <w:tcPr>
            <w:tcW w:type="dxa" w:w="68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✓</w:t>
            </w:r>
          </w:p>
        </w:tc>
      </w:tr>
    </w:tbl>
    <w:p>
      <w:pPr>
        <w:spacing w:before="60"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9C4"/>
            <w:tcBorders>
              <w:top w:val="single" w:sz="8" w:color="FFD700"/>
              <w:bottom w:val="single" w:sz="8" w:color="FFD700"/>
              <w:right w:val="single" w:sz="8" w:color="FFD700"/>
              <w:left w:val="single" w:sz="24" w:color="FFD700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i w:val="0"/>
                <w:sz w:val="22"/>
              </w:rPr>
              <w:t xml:space="preserve">Hinweis zur Umverortung F5:  </w:t>
            </w:r>
            <w:r>
              <w:rPr>
                <w:rFonts w:ascii="Arial" w:hAnsi="Arial"/>
                <w:b w:val="0"/>
                <w:i w:val="0"/>
                <w:sz w:val="22"/>
              </w:rPr>
              <w:t>Im DOCX als Phase-2-Anregung notiert; inhaltlich („eigenen viralen Post erstellen“) jedoch eine produktive Transfer-Aktivität.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22"/>
              </w:rPr>
              <w:t>Die Verortung in Phase 6 wahrt Transfer ≠ Reflexion und vermeidet eine zweite produktive Aktivität in der Hinführung.</w:t>
            </w:r>
          </w:p>
        </w:tc>
      </w:tr>
    </w:tbl>
    <w:p>
      <w:pPr>
        <w:spacing w:before="0" w:after="40"/>
      </w:pP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Leitlinien 2026 – Erfüllung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Kriterium</w:t>
            </w:r>
          </w:p>
        </w:tc>
        <w:tc>
          <w:tcPr>
            <w:tcW w:type="dxa" w:w="6803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Umsetzung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Binnendifferenzierung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Durchgehend Sek I / Sek II-Varianten in allen Phasen (Phase 6 zusätzlich Quiz vs. Mythen-Labor)</w:t>
            </w:r>
          </w:p>
        </w:tc>
      </w:tr>
      <w:tr>
        <w:tc>
          <w:tcPr>
            <w:tcW w:type="dxa" w:w="2835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Klarer Fokus</w:t>
            </w:r>
          </w:p>
        </w:tc>
        <w:tc>
          <w:tcPr>
            <w:tcW w:type="dxa" w:w="6803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Eine Leitfrage: Wie erkenne ich verlässliche Gesundheitsinformationen im Netz – und warum ist das für meine Gesundheit wichtig?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Andocken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Baut auf LH6, LH19, LH8, LH7, LH21, LH14 auf – ohne inhaltliche Dopplung</w:t>
            </w:r>
          </w:p>
        </w:tc>
      </w:tr>
      <w:tr>
        <w:tc>
          <w:tcPr>
            <w:tcW w:type="dxa" w:w="2835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Gesundheitsbezug</w:t>
            </w:r>
          </w:p>
        </w:tc>
        <w:tc>
          <w:tcPr>
            <w:tcW w:type="dxa" w:w="6803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Körperliche und mentale Gesundheit in jeder Phase verankert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Langlebigkeit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Faktencheck-Methoden statt plattformspezifischer Details; Beispiele jederzeit austauschbar</w:t>
            </w:r>
          </w:p>
        </w:tc>
      </w:tr>
      <w:tr>
        <w:tc>
          <w:tcPr>
            <w:tcW w:type="dxa" w:w="2835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Strukturelle Kontinuität</w:t>
            </w:r>
          </w:p>
        </w:tc>
        <w:tc>
          <w:tcPr>
            <w:tcW w:type="dxa" w:w="6803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Bewährter 7-Phasen-Aufbau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Einheit</w:t>
            </w:r>
          </w:p>
        </w:tc>
        <w:tc>
          <w:tcPr>
            <w:tcW w:type="dxa" w:w="680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 Minuten</w:t>
            </w:r>
          </w:p>
        </w:tc>
      </w:tr>
    </w:tbl>
    <w:p>
      <w:pPr>
        <w:spacing w:before="60" w:after="60"/>
      </w:pP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Arbeitstitel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9C4"/>
            <w:tcBorders>
              <w:top w:val="single" w:sz="8" w:color="FFD700"/>
              <w:bottom w:val="single" w:sz="8" w:color="FFD700"/>
              <w:right w:val="single" w:sz="8" w:color="FFD700"/>
              <w:left w:val="single" w:sz="24" w:color="FFD700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 w:val="0"/>
                <w:i w:val="0"/>
                <w:sz w:val="22"/>
              </w:rPr>
              <w:t>„Gesundheitsmythen im Netz – Was stimmt wirklich?“</w:t>
            </w:r>
          </w:p>
        </w:tc>
      </w:tr>
    </w:tbl>
    <w:p>
      <w:pPr>
        <w:spacing w:before="0" w:after="40"/>
      </w:pP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1. Kernbotschaften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1. </w:t>
      </w:r>
      <w:r>
        <w:rPr>
          <w:rFonts w:ascii="Arial" w:hAnsi="Arial"/>
          <w:b w:val="0"/>
          <w:i w:val="0"/>
          <w:sz w:val="22"/>
        </w:rPr>
        <w:t>Nicht alles, was viral geht, ist wahr – Gesundheitsmythen verbreiten sich online besonders schnell, weil sie einfache Lösungen versprechen.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2. </w:t>
      </w:r>
      <w:r>
        <w:rPr>
          <w:rFonts w:ascii="Arial" w:hAnsi="Arial"/>
          <w:b w:val="0"/>
          <w:i w:val="0"/>
          <w:sz w:val="22"/>
        </w:rPr>
        <w:t>Körperbilder und Gesundheitsideale sind oft konstruiert – Social Media zeigt unrealistische, teilweise gesundheitsschädliche Standards.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3. </w:t>
      </w:r>
      <w:r>
        <w:rPr>
          <w:rFonts w:ascii="Arial" w:hAnsi="Arial"/>
          <w:b w:val="0"/>
          <w:i w:val="0"/>
          <w:sz w:val="22"/>
        </w:rPr>
        <w:t>Wissenschaftliche Quellen erkennen schützt – Wer Fakten von Mythen unterscheiden kann, trifft bessere Gesundheitsentscheidungen.</w:t>
      </w:r>
    </w:p>
    <w:p>
      <w:pPr>
        <w:pStyle w:val="ListBullet"/>
        <w:spacing w:before="40" w:after="40"/>
      </w:pPr>
      <w:r>
        <w:rPr>
          <w:rFonts w:ascii="Arial" w:hAnsi="Arial"/>
          <w:b/>
          <w:i w:val="0"/>
          <w:sz w:val="22"/>
        </w:rPr>
        <w:t xml:space="preserve">4. </w:t>
      </w:r>
      <w:r>
        <w:rPr>
          <w:rFonts w:ascii="Arial" w:hAnsi="Arial"/>
          <w:b w:val="0"/>
          <w:i w:val="0"/>
          <w:sz w:val="22"/>
        </w:rPr>
        <w:t>Kritisches Denken ist Gesundheitsschutz – Medienkompetenz befähigt zu informierten Entscheidungen über den eigenen Körper und schützt vor gefährlichen Trends.</w:t>
      </w: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2. Anknüpfungspunkte an bestehende Einheiten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LH6 Desinformation im Netz – Methoden zur Faktenprüfung (werden vorausgesetzt / kurz aktiviert)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LH19 Körperbilder im Internet – Unrealistische Körperideale, Bildmanipulation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LH8 Digital stark: Gesundheit entdecken – Ernährung, Bewegung, Schlaf als Grundthemen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LH7 Die Welt der Influencerinnen und Influencer – Werbung vs. Information, kommerzielle Interessen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LH21 Medien und Prävention – Gesundheitsinformationen finden und bewerten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LH14 Challenges im Netz – Gefährliche Trends, Gruppendruck</w:t>
      </w: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3. Gesundheitsbezug</w:t>
      </w:r>
    </w:p>
    <w:p>
      <w:pPr>
        <w:spacing w:before="200" w:after="80"/>
      </w:pPr>
      <w:r>
        <w:rPr>
          <w:rFonts w:ascii="Arial" w:hAnsi="Arial"/>
          <w:b/>
          <w:i w:val="0"/>
          <w:color w:val="333333"/>
          <w:sz w:val="24"/>
        </w:rPr>
        <w:t>Körperliche Gesundheit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Gefährliche Gesundheitstrends: extreme Diäten, fragwürdige Fitness-Challenges, „Detox“-Produkte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Risiken durch Falschinformationen zu Ernährung, Nahrungsergänzung, Medikamenten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Unrealistische Körperbilder als Motivation für ungesunde Verhaltensweisen (Essstörungen, Übertraining)</w:t>
      </w:r>
    </w:p>
    <w:p>
      <w:pPr>
        <w:spacing w:before="200" w:after="80"/>
      </w:pPr>
      <w:r>
        <w:rPr>
          <w:rFonts w:ascii="Arial" w:hAnsi="Arial"/>
          <w:b/>
          <w:i w:val="0"/>
          <w:color w:val="333333"/>
          <w:sz w:val="24"/>
        </w:rPr>
        <w:t>Mentale Gesundheit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Druck durch idealisierte Körperbilder und Gesundheitsstandards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Verunsicherung und Stress durch widersprüchliche Gesundheitsinformationen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Selbstwertprobleme durch Vergleich mit „perfekten“ Online-Körpern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Schuldgefühle, wenn man „Gesundheitstrends“ nicht folgt</w:t>
      </w:r>
    </w:p>
    <w:p>
      <w:pPr>
        <w:spacing w:before="200" w:after="80"/>
      </w:pPr>
      <w:r>
        <w:rPr>
          <w:rFonts w:ascii="Arial" w:hAnsi="Arial"/>
          <w:b/>
          <w:i w:val="0"/>
          <w:color w:val="333333"/>
          <w:sz w:val="24"/>
        </w:rPr>
        <w:t>Medienkompetenz als Schutzfaktor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Wissenschaftliche Quellen von Meinungen unterscheiden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Kommerzielle Interessen hinter Gesundheitsbehauptungen erkennen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Selbstbestimmte, informierte Entscheidungen über die eigene Gesundheit treffen</w:t>
      </w: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4. KMK-Kompetenzbereiche</w:t>
      </w:r>
    </w:p>
    <w:p>
      <w:pPr>
        <w:spacing w:before="60" w:after="60"/>
      </w:pPr>
      <w:r>
        <w:rPr>
          <w:rFonts w:ascii="Arial" w:hAnsi="Arial"/>
          <w:b/>
          <w:i w:val="0"/>
          <w:sz w:val="22"/>
        </w:rPr>
        <w:t xml:space="preserve">Schwerpunkt: </w:t>
      </w:r>
      <w:r>
        <w:rPr>
          <w:rFonts w:ascii="Arial" w:hAnsi="Arial"/>
          <w:b w:val="0"/>
          <w:i w:val="0"/>
          <w:sz w:val="22"/>
        </w:rPr>
        <w:t>Bereiche 1, 4 und 6</w:t>
      </w: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5. Dimensionen digitaler Gesundheitskompetenz</w:t>
      </w:r>
    </w:p>
    <w:p>
      <w:pPr>
        <w:spacing w:before="60" w:after="60"/>
      </w:pPr>
      <w:r>
        <w:rPr>
          <w:rFonts w:ascii="Arial" w:hAnsi="Arial"/>
          <w:b/>
          <w:i w:val="0"/>
          <w:sz w:val="22"/>
        </w:rPr>
        <w:t xml:space="preserve">Schwerpunkt: </w:t>
      </w:r>
      <w:r>
        <w:rPr>
          <w:rFonts w:ascii="Arial" w:hAnsi="Arial"/>
          <w:b w:val="0"/>
          <w:i w:val="0"/>
          <w:sz w:val="22"/>
        </w:rPr>
        <w:t>Dimensionen 2, 3, 4, 5, 7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DGK 2: Verstehen, wie Gesundheitsmythen entstehen und sich verbreiten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DGK 3: Kritisches Bewerten von Gesundheitsinformationen und Quellen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DGK 4: Faktencheck-Methoden anwenden, verlässliche Quellen nutzen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DGK 5: Gesundheit durch informierte Entscheidungen schützen</w:t>
      </w:r>
    </w:p>
    <w:p>
      <w:pPr>
        <w:pStyle w:val="ListBullet"/>
        <w:spacing w:before="40" w:after="40"/>
      </w:pPr>
      <w:r>
        <w:rPr>
          <w:rFonts w:ascii="Arial" w:hAnsi="Arial"/>
          <w:b w:val="0"/>
          <w:i w:val="0"/>
          <w:sz w:val="22"/>
        </w:rPr>
        <w:t>DGK 7: Eigene wissenschaftsbasierte Quiz-Inhalte erstellen</w:t>
      </w: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6. Ablaufstruktur (90 Minuten)</w:t>
      </w:r>
    </w:p>
    <w:p>
      <w:pPr>
        <w:spacing w:before="60" w:after="60"/>
      </w:pPr>
      <w:r>
        <w:rPr>
          <w:rFonts w:ascii="Arial" w:hAnsi="Arial"/>
          <w:b/>
          <w:i w:val="0"/>
          <w:sz w:val="22"/>
        </w:rPr>
        <w:t xml:space="preserve">Video-Idee: </w:t>
      </w:r>
      <w:r>
        <w:rPr>
          <w:rFonts w:ascii="Arial" w:hAnsi="Arial"/>
          <w:b w:val="0"/>
          <w:i w:val="0"/>
          <w:sz w:val="22"/>
        </w:rPr>
        <w:t>Kurzclip – eine Gesundheitsbehauptung (z. B. „Detox-Tee entgiftet deinen Körper“) geht viral. Gegenschnitt: Eine Ernährungswissenschaftlerin oder ein Ernährungswissenschaftler widerlegt die Aussage in 30 Sekunden. Einstiegsfrage: „Wem glaubst du – und warum?“</w:t>
      </w:r>
    </w:p>
    <w:p>
      <w:pPr>
        <w:spacing w:before="60"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Phase / Inhalt</w:t>
            </w:r>
          </w:p>
        </w:tc>
        <w:tc>
          <w:tcPr>
            <w:tcW w:type="dxa" w:w="3969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Sek I / Sek II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1: Einstieg – „Glaubst du das?“ (10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>Vorwissen aktivieren, persönliche Relevanz herstellen, Neugier wecken. Bildcollage: 8 Gesundheitsbehauptungen aus Social Media (Mix aus Fakt/Fake) im Plenum – spontane Einschätzung per „Daumen hoch/runter“. Anschließend Think-Pair-Share: „Welche Gesundheitstipps habt ihr online gesehen?“ Brückenfrage zur Überleitung: „Welche dieser Behauptungen könnte eure Gesundheitsentscheidungen beeinflussen?“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In </w:t>
            </w:r>
            <w:r>
              <w:rPr>
                <w:rFonts w:ascii="Arial" w:hAnsi="Arial"/>
                <w:b/>
                <w:i w:val="0"/>
                <w:sz w:val="20"/>
              </w:rPr>
              <w:t>Sek 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Fokus auf TikTok, Instagram, YouTube (Fitness, Beauty, „Life Hacks“). In </w:t>
            </w:r>
            <w:r>
              <w:rPr>
                <w:rFonts w:ascii="Arial" w:hAnsi="Arial"/>
                <w:b/>
                <w:i w:val="0"/>
                <w:sz w:val="20"/>
              </w:rPr>
              <w:t>Sek II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zusätzlich Gesundheitsblogs, Influencer-Marketing, pseudowissenschaftliche Studien.</w:t>
            </w:r>
          </w:p>
        </w:tc>
      </w:tr>
      <w:tr>
        <w:tc>
          <w:tcPr>
            <w:tcW w:type="dxa" w:w="56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2: Hinführung – Warum verbreiten sich Mythen? (15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Mechanismen der Verbreitung verstehen, Verbindung zu Körperbildern und psychischer Gesundheit herstellen. Kurzvideo/Infografik: „Warum verbreiten sich Gesundheitsmythen so schnell?“ im Plenum. In 2er-Gruppen Gründe sammeln (AB 1): Algorithmen, Emotionen, vereinfachte Botschaften, Körperideale. Sicherung im Plenum: „Welche Rolle spielen Körperbilder?“ – Hinweis: Widersprüchliche Gesundheitsinfos erzeugen Verunsicherung, Stress und Schamgefühle.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Grundschule (Kl. 3–4): </w:t>
            </w:r>
            <w:r>
              <w:rPr>
                <w:rFonts w:ascii="Arial" w:hAnsi="Arial"/>
                <w:b w:val="0"/>
                <w:i w:val="0"/>
                <w:sz w:val="20"/>
              </w:rPr>
              <w:t>Statt Kurzvideo/Infografik: Detektiv-Geschichte im Sitzkreis. Lehrkraft erzählt: Lena sieht in einem Video, dass ein bestimmtes Getränk nie krank macht – die Geschichte wandert weiter, niemand prüft sie. Ziel: Stille-Post-Prinzip kindgerecht.</w:t>
            </w:r>
          </w:p>
        </w:tc>
        <w:tc>
          <w:tcPr>
            <w:tcW w:type="dxa" w:w="39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In </w:t>
            </w:r>
            <w:r>
              <w:rPr>
                <w:rFonts w:ascii="Arial" w:hAnsi="Arial"/>
                <w:b/>
                <w:i w:val="0"/>
                <w:sz w:val="20"/>
              </w:rPr>
              <w:t>Sek 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konkrete Beispiele (Before-After-Bilder, „Wundermittel“, Challenges). In </w:t>
            </w:r>
            <w:r>
              <w:rPr>
                <w:rFonts w:ascii="Arial" w:hAnsi="Arial"/>
                <w:b/>
                <w:i w:val="0"/>
                <w:sz w:val="20"/>
              </w:rPr>
              <w:t>Sek II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zusätzlich psychologische Mechanismen: Bestätigungsfehler, Dunning-Kruger-Effekt, Sozialer Beweis, </w:t>
            </w:r>
            <w:r>
              <w:rPr>
                <w:rFonts w:ascii="Arial" w:hAnsi="Arial"/>
                <w:b/>
                <w:i w:val="0"/>
                <w:sz w:val="20"/>
              </w:rPr>
              <w:t>Illusory Truth Effect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(Wiederholung erzeugt subjektiv Wahrheit – je öfter eine Falschinformation wiederholt wird, desto wahrer erscheint sie)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F4]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Kurz-Exkurs „Gesundheitsmythen und KI“: </w:t>
            </w:r>
            <w:r>
              <w:rPr>
                <w:rFonts w:ascii="Arial" w:hAnsi="Arial"/>
                <w:b w:val="0"/>
                <w:i w:val="0"/>
                <w:sz w:val="20"/>
              </w:rPr>
              <w:t>KI-generierte Bilder/Videos, Deepfakes von Ärztinnen, Ärzten oder Prominenten, ChatGPT-Antworten ohne Quellenangabe und automatisiert produzierte „Health-Hacks“-Clips verstärken Mythen massiv – plausibel klingend, aber ungeprüft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F2]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3: Erarbeitung I – Faktencheck-Werkstatt (25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Praktische Methoden zur Überprüfung von Gesundheitsbehauptungen erlernen und anwenden. QQQQ-Methode (Quelle / Qualität / Querbezüge / Qualitätssiegel) im Plenum anhand von AB 2.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Anschließend Demo des DURCHBLICKT!-QuellenCheckers (durch-blickt.de): </w:t>
            </w:r>
            <w:r>
              <w:rPr>
                <w:rFonts w:ascii="Arial" w:hAnsi="Arial"/>
                <w:b w:val="0"/>
                <w:i w:val="0"/>
                <w:sz w:val="20"/>
              </w:rPr>
              <w:t>Gemeinsam wird eine Beispielbehauptung mit dem Tool geprüft – Schritt-für-Schritt-Logik und QQQQ-Bezug parallel sichtbar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F1]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In 4er-Gruppen überprüfen die Lernenden 4 Gesundheitsbehauptungen (AB 3a–d).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Optional: </w:t>
            </w:r>
            <w:r>
              <w:rPr>
                <w:rFonts w:ascii="Arial" w:hAnsi="Arial"/>
                <w:b w:val="0"/>
                <w:i w:val="0"/>
                <w:sz w:val="20"/>
              </w:rPr>
              <w:t>SuS prüfen 1–2 ihrer Behauptungen zusätzlich mit dem QuellenChecker und vergleichen Tool-Ergebnis und eigene QQQQ-Einschätzung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F1]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Kurzpräsentation im Plenum (je 3 Min.).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Gesundheitsbezug: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Unkritisch übernommene Gesundheitstipps können zu schädlichen Entscheidungen führen – die QQQQ-Methode schützt vor gesundheitlichen Fehlentscheidungen.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Infobox „Wo finde ich verlässliche Gesundheitsinfos?“: </w:t>
            </w:r>
            <w:r>
              <w:rPr>
                <w:rFonts w:ascii="Arial" w:hAnsi="Arial"/>
                <w:b w:val="0"/>
                <w:i w:val="0"/>
                <w:sz w:val="20"/>
              </w:rPr>
              <w:t>Vertrauenswürdige Anlaufstellen u. a.: gesundheitsinformation.de (IQWiG), rki.de, bzga.de, barmer.de/gesundheit. Vollständige Liste s. Abschnitt 7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F3]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Grundschule (Kl. 3–4): </w:t>
            </w:r>
            <w:r>
              <w:rPr>
                <w:rFonts w:ascii="Arial" w:hAnsi="Arial"/>
                <w:b w:val="0"/>
                <w:i w:val="0"/>
                <w:sz w:val="20"/>
              </w:rPr>
              <w:t>Statt QQQQ-Methode: Detektiv-Arbeitsblatt mit drei kindgerechten Fragen: 1. „Wer sagt das?“ 2. „Warum sagt die Person das?“ 3. „Fragt noch jemand anders?“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In </w:t>
            </w:r>
            <w:r>
              <w:rPr>
                <w:rFonts w:ascii="Arial" w:hAnsi="Arial"/>
                <w:b/>
                <w:i w:val="0"/>
                <w:sz w:val="20"/>
              </w:rPr>
              <w:t>Sek 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vereinfachte QQQQ-Checkliste, klare Mythen vs. Fakten, vorgegebene Quellen. In </w:t>
            </w:r>
            <w:r>
              <w:rPr>
                <w:rFonts w:ascii="Arial" w:hAnsi="Arial"/>
                <w:b/>
                <w:i w:val="0"/>
                <w:sz w:val="20"/>
              </w:rPr>
              <w:t>Sek II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zusätzlich: Studienqualität bewerten, Interessenkonflikte erkennen, eigene Recherche.</w:t>
            </w:r>
          </w:p>
        </w:tc>
      </w:tr>
      <w:tr>
        <w:tc>
          <w:tcPr>
            <w:tcW w:type="dxa" w:w="56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4: Erarbeitung II – Körperbilder &amp; Gesundheitsmythen (15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>Verbindung zwischen konstruierten Körperbildern und Gesundheitsmythen erkennen. In 4er-Gruppen analysieren die Lernenden 3 fiktive Influencer-Profile (Fitness / Ernährung / Beauty) anhand von AB 4. Leitfragen: „Welches Körperbild wird vermittelt? Welche Mythen? Wer profitiert?“</w:t>
            </w:r>
          </w:p>
        </w:tc>
        <w:tc>
          <w:tcPr>
            <w:tcW w:type="dxa" w:w="39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In </w:t>
            </w:r>
            <w:r>
              <w:rPr>
                <w:rFonts w:ascii="Arial" w:hAnsi="Arial"/>
                <w:b/>
                <w:i w:val="0"/>
                <w:sz w:val="20"/>
              </w:rPr>
              <w:t>Sek 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Beschreiben und Erkennen von Unrealistischem, persönliche Einschätzung. In </w:t>
            </w:r>
            <w:r>
              <w:rPr>
                <w:rFonts w:ascii="Arial" w:hAnsi="Arial"/>
                <w:b/>
                <w:i w:val="0"/>
                <w:sz w:val="20"/>
              </w:rPr>
              <w:t>Sek II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zusätzlich: Geschäftsmodelle analysieren, gesellschaftliche Auswirkungen, Bodyshaming, Essstörungen.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5: Vertiefung – Wer steckt dahinter? (10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Kommerzielle und algorithmische Interessen hinter Gesundheitsmythen erkennen. Impulsfrage im Plenum: „Wem nützt es, wenn Gesundheitsmythen geglaubt werden?“ Diskussion im Plenum: „Macht es einen Unterschied, ob jemand bezahlt wurde?“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Gesundheitsbezug: </w:t>
            </w:r>
            <w:r>
              <w:rPr>
                <w:rFonts w:ascii="Arial" w:hAnsi="Arial"/>
                <w:b w:val="0"/>
                <w:i w:val="0"/>
                <w:sz w:val="20"/>
              </w:rPr>
              <w:t>Kommerzielle Gesundheitsmythen erzeugen gezielt Unsicherheit über den eigenen Körper – das Erkennen dieser Mechanismen schützt vor Druck, Schamgefühlen und unrealistischen Körperidealen.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In </w:t>
            </w:r>
            <w:r>
              <w:rPr>
                <w:rFonts w:ascii="Arial" w:hAnsi="Arial"/>
                <w:b/>
                <w:i w:val="0"/>
                <w:sz w:val="20"/>
              </w:rPr>
              <w:t>Sek 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Werbung erkennen, einfache Interessen benennen. In </w:t>
            </w:r>
            <w:r>
              <w:rPr>
                <w:rFonts w:ascii="Arial" w:hAnsi="Arial"/>
                <w:b/>
                <w:i w:val="0"/>
                <w:sz w:val="20"/>
              </w:rPr>
              <w:t>Sek II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zusätzlich: EU-Regulierung, Transparenzpflichten, gesellschaftliche Verantwortung von Plattformen.</w:t>
            </w:r>
          </w:p>
        </w:tc>
      </w:tr>
      <w:tr>
        <w:tc>
          <w:tcPr>
            <w:tcW w:type="dxa" w:w="56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6: Transfer (10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Gelerntes anwenden – von passiver Mythen-Erkennung zu aktivem Mechanismen-Verständnis.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Sek I – „Wahr oder Fake?“-Quiz: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In 2er-Gruppen erstellen die Lernenden je 2–3 Quiz-Fragen mit Auflösung und kurzer Begründung (AB 5). Die besten Fragen werden im Plenum gespielt. </w:t>
            </w:r>
            <w:r>
              <w:rPr>
                <w:rFonts w:ascii="Arial" w:hAnsi="Arial"/>
                <w:b/>
                <w:i w:val="0"/>
                <w:sz w:val="20"/>
              </w:rPr>
              <w:t>Sek II – Mythen-Labor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F5]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In 2er-Gruppen entwickeln die Lernenden einen eigenen fiktiven viralen Gesundheits-Post (Behauptung + Bild-/Captionidee + Hashtag) inkl. Mythen-Auflösung auf der Rückseite: Welche QQQQ-Schwächen wurden gezielt eingebaut (z. B. fehlende Quelle, emotionale Sprache, scheinbares Qualitätssiegel, Cherry Picking)? Anschließend kurze Galerie-Runde im Plenum (3–4 ausgewählte Posts). </w:t>
            </w:r>
            <w:r>
              <w:rPr>
                <w:rFonts w:ascii="Arial" w:hAnsi="Arial"/>
                <w:b w:val="0"/>
                <w:i w:val="0"/>
                <w:sz w:val="20"/>
              </w:rPr>
              <w:t>Persönliches Faktencheck-Versprechen auf Notizzettel – einheitlich für beide Niveaus.</w:t>
            </w:r>
          </w:p>
        </w:tc>
        <w:tc>
          <w:tcPr>
            <w:tcW w:type="dxa" w:w="39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In </w:t>
            </w:r>
            <w:r>
              <w:rPr>
                <w:rFonts w:ascii="Arial" w:hAnsi="Arial"/>
                <w:b/>
                <w:i w:val="0"/>
                <w:sz w:val="20"/>
              </w:rPr>
              <w:t>Sek 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Multiple-Choice-Quiz mit klaren Antworten; Fokus: Wahr oder Fake? In </w:t>
            </w:r>
            <w:r>
              <w:rPr>
                <w:rFonts w:ascii="Arial" w:hAnsi="Arial"/>
                <w:b/>
                <w:i w:val="0"/>
                <w:sz w:val="20"/>
              </w:rPr>
              <w:t>Sek II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Mythen-Labor: produktive Anwendung der QQQQ-Kriterien durch bewusstes Konstruieren eines glaubwürdig wirkenden Mythos und Reflexion über die eingebauten Manipulationsmechanismen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 xml:space="preserve"> [NEU F5]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sz w:val="20"/>
              </w:rPr>
              <w:t xml:space="preserve">Phase 7: Reflexion (5 Min.) </w:t>
            </w:r>
            <w:r>
              <w:rPr>
                <w:rFonts w:ascii="Arial" w:hAnsi="Arial"/>
                <w:b/>
                <w:i w:val="0"/>
                <w:sz w:val="20"/>
              </w:rPr>
              <w:t xml:space="preserve">Ziel: </w:t>
            </w:r>
            <w:r>
              <w:rPr>
                <w:rFonts w:ascii="Arial" w:hAnsi="Arial"/>
                <w:b w:val="0"/>
                <w:i w:val="0"/>
                <w:sz w:val="20"/>
              </w:rPr>
              <w:t>Rückblick auf den Lernprozess – kein Produkt, kein Handlungsdruck. Blitzlicht-Abschlussrunde im Plenum: „Was nehme ich heute mit? Was hat mich überrascht? Was beschäftigt mich noch?“ Offene Fragen werden gesammelt – ohne Auflösung. Optional: Kurze anonyme Selbstreflexion: „Welchen Gesundheitstipp werde ich das nächste Mal hinterfragen?“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Einheitlich für Sek I und Sek II. Niedrigschwellig, freiwillig, kein Bewertungsdruck.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hAnsi="Arial"/>
          <w:b/>
          <w:i w:val="0"/>
          <w:sz w:val="22"/>
        </w:rPr>
        <w:t xml:space="preserve">Phasenzeiten gesamt: </w:t>
      </w:r>
      <w:r>
        <w:rPr>
          <w:rFonts w:ascii="Arial" w:hAnsi="Arial"/>
          <w:b w:val="0"/>
          <w:i w:val="0"/>
          <w:sz w:val="22"/>
        </w:rPr>
        <w:t>10 + 15 + 25 + 15 + 10 + 10 + 5 = 90 Min.</w:t>
      </w:r>
    </w:p>
    <w:p>
      <w:pPr>
        <w:spacing w:before="320" w:after="140"/>
        <w:pBdr>
          <w:bottom w:val="single" w:sz="8" w:color="FFD700"/>
        </w:pBdr>
      </w:pPr>
      <w:r>
        <w:rPr>
          <w:rFonts w:ascii="Arial" w:hAnsi="Arial"/>
          <w:b/>
          <w:i w:val="0"/>
          <w:color w:val="333333"/>
          <w:sz w:val="28"/>
        </w:rPr>
        <w:t>7. Vertrauenswürdige Gesundheitsquellen (Lehrkraft-Referenz)</w:t>
      </w:r>
    </w:p>
    <w:p>
      <w:pPr>
        <w:spacing w:before="60" w:after="60"/>
      </w:pPr>
      <w:r>
        <w:rPr>
          <w:rFonts w:ascii="Arial" w:hAnsi="Arial"/>
          <w:b w:val="0"/>
          <w:i/>
          <w:color w:val="C0392B"/>
          <w:sz w:val="20"/>
        </w:rPr>
        <w:t>[NEU F3]</w:t>
      </w:r>
    </w:p>
    <w:p>
      <w:pPr>
        <w:spacing w:before="60" w:after="60"/>
      </w:pPr>
      <w:r>
        <w:rPr>
          <w:rFonts w:ascii="Arial" w:hAnsi="Arial"/>
          <w:b w:val="0"/>
          <w:i w:val="0"/>
          <w:sz w:val="22"/>
        </w:rPr>
        <w:t>Kuratierte Liste valider Anlaufstellen für Faktenchecks und vertiefende Recherche. Sie dient der eigenen Vorbereitung der Lehrkraft und kann den Lernenden in Phase 3 als Aushang/Handout zur Verfügung gestellt werden – ersetzt aber nicht die Anwendung der QQQQ-Methode.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Quelle</w:t>
            </w:r>
          </w:p>
        </w:tc>
        <w:tc>
          <w:tcPr>
            <w:tcW w:type="dxa" w:w="2551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URL</w:t>
            </w:r>
          </w:p>
        </w:tc>
        <w:tc>
          <w:tcPr>
            <w:tcW w:type="dxa" w:w="3969"/>
            <w:shd w:val="clear" w:color="auto" w:fill="FFD70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Profil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IQWiG / gesundheitsinformation.de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gesundheitsinformation.de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Unabhängige, evidenzbasierte Gesundheitsinformationen für die Allgemeinbevölkerung</w:t>
            </w:r>
          </w:p>
        </w:tc>
      </w:tr>
      <w:tr>
        <w:tc>
          <w:tcPr>
            <w:tcW w:type="dxa" w:w="3118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Robert Koch-Institut (RKI)</w:t>
            </w:r>
          </w:p>
        </w:tc>
        <w:tc>
          <w:tcPr>
            <w:tcW w:type="dxa" w:w="255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rki.de</w:t>
            </w:r>
          </w:p>
        </w:tc>
        <w:tc>
          <w:tcPr>
            <w:tcW w:type="dxa" w:w="39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Bundesinstitut für Infektions- und nichtübertragbare Krankheiten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Bundeszentrale für gesundheitliche Aufklärung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bzga.de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Prävention, Aufklärung, Jugendgesundheit</w:t>
            </w:r>
          </w:p>
        </w:tc>
      </w:tr>
      <w:tr>
        <w:tc>
          <w:tcPr>
            <w:tcW w:type="dxa" w:w="3118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 Gesundheitsportal</w:t>
            </w:r>
          </w:p>
        </w:tc>
        <w:tc>
          <w:tcPr>
            <w:tcW w:type="dxa" w:w="255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barmer.de/gesundheit</w:t>
            </w:r>
          </w:p>
        </w:tc>
        <w:tc>
          <w:tcPr>
            <w:tcW w:type="dxa" w:w="39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Krankenkassen-Gesundheitsinfos, Themenseiten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Stiftung Gesundheitswissen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stiftung-gesundheitswissen.de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Patientenorientierte, qualitätsgeprüfte Inhalte</w:t>
            </w:r>
          </w:p>
        </w:tc>
      </w:tr>
      <w:tr>
        <w:tc>
          <w:tcPr>
            <w:tcW w:type="dxa" w:w="3118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MedlinePlus / Cochrane (engl.)</w:t>
            </w:r>
          </w:p>
        </w:tc>
        <w:tc>
          <w:tcPr>
            <w:tcW w:type="dxa" w:w="2551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medlineplus.gov / cochrane.org</w:t>
            </w:r>
          </w:p>
        </w:tc>
        <w:tc>
          <w:tcPr>
            <w:tcW w:type="dxa" w:w="3969"/>
            <w:shd w:val="clear" w:color="auto" w:fill="FFFBE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International, systematische Übersichtsarbeiten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DURCHBLICKT! QuellenChecker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durch-blickt.de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Interaktives Tool zur Quellenprüfung (in Phase 3 eingebunden)</w:t>
            </w:r>
          </w:p>
        </w:tc>
      </w:tr>
    </w:tbl>
    <w:p>
      <w:pPr>
        <w:spacing w:before="60" w:after="60"/>
      </w:pPr>
    </w:p>
    <w:p>
      <w:pPr>
        <w:spacing w:before="240" w:after="40"/>
        <w:jc w:val="center"/>
      </w:pPr>
      <w:r>
        <w:rPr>
          <w:rFonts w:ascii="Arial" w:hAnsi="Arial"/>
          <w:b w:val="0"/>
          <w:i/>
          <w:color w:val="888888"/>
          <w:sz w:val="18"/>
        </w:rPr>
        <w:t>DURCHBLICKT! – Digital in eine gesunde Zukunft  |  BARMER / Klett MEX</w:t>
      </w:r>
    </w:p>
    <w:p>
      <w:pPr>
        <w:spacing w:before="0" w:after="0"/>
        <w:jc w:val="center"/>
      </w:pPr>
      <w:r>
        <w:rPr>
          <w:rFonts w:ascii="Arial" w:hAnsi="Arial"/>
          <w:b w:val="0"/>
          <w:i/>
          <w:color w:val="888888"/>
          <w:sz w:val="18"/>
        </w:rPr>
        <w:t>Re-Einreichung LH3  |  Autor: Michael Kohl  |  29.04.2026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