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DURCHBLICKT! – Genehmigungsvorlage BARMER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Lehrkräftehandreichung 3: „Gesundheitsmythen im Netz“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Wie erkenne ich verlässliche Gesundheitsinformationen – und warum ist das wichtig?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Dokument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Freigabevorlage Phase 4b | Stand: März 2026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Michael Kohl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Verlag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Klett MEX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Auftraggeber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BARMER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Lehrkräfte Sekundarstufe I + II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Dauer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Minuten (Doppelstunde)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Leitlinien-Check 2026 (Phase 4a)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Leitlinie</w:t>
            </w:r>
          </w:p>
        </w:tc>
        <w:tc>
          <w:tcPr>
            <w:tcW w:type="dxa" w:w="61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Befund</w:t>
            </w:r>
          </w:p>
        </w:tc>
        <w:tc>
          <w:tcPr>
            <w:tcW w:type="dxa" w:w="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Binnendifferenzierung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Alle 5 Phasen enthalten explizite Sek I / Sek II-Varianten – in Aufgaben, Methoden und Materialien (z. B. QQQQ-Methode vereinfacht vs. erweitert; Quiz Multiple Choice vs. offen)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Klarer Fokus</w:t>
            </w:r>
          </w:p>
        </w:tc>
        <w:tc>
          <w:tcPr>
            <w:tcW w:type="dxa" w:w="61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Eine Leitfrage: Wie erkenne ich verlässliche Gesundheitsinformationen im Netz – und warum ist das für meine körperliche und mentale Gesundheit wichtig? Alle Phasen zahlen darauf ein.</w:t>
            </w:r>
          </w:p>
        </w:tc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Andocken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Explizite Abgrenzung zu LH6 (Fake News allgemein), LH19 (Körperbilder), LH8 (Gesundheitsgewohnheiten), LH7 (Influencer); neue Perspektive: gesundheitsspezifische Falschinformation + Faktencheck-Kompetenz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Gesundheitsbezug</w:t>
            </w:r>
          </w:p>
        </w:tc>
        <w:tc>
          <w:tcPr>
            <w:tcW w:type="dxa" w:w="61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Körperliche Gesundheit (gefährliche Trends, Ernährungsrisiken), psychische Gesundheit (Verunsicherung, Schamgefühle, Körperbild-Druck) und Medienkompetenz als Schutzfaktor in allen Phasen verankert</w:t>
            </w:r>
          </w:p>
        </w:tc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Grobkonzept zuerst</w:t>
            </w:r>
          </w:p>
        </w:tc>
        <w:tc>
          <w:tcPr>
            <w:tcW w:type="dxa" w:w="6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Vollständige Konzeptstruktur mit 16 Abschnitten; Grundschul-Erweiterung folgt in Phase 6a nach BARMER-Freigabe</w:t>
            </w:r>
          </w:p>
        </w:tc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 w:before="60"/>
      </w:pPr>
    </w:p>
    <w:p>
      <w:pPr>
        <w:pBdr>
          <w:top w:val="single" w:color="4CAF50" w:sz="6"/>
          <w:bottom w:val="single" w:color="4CAF50" w:sz="6"/>
          <w:left w:val="single" w:color="4CAF50" w:sz="18"/>
          <w:right w:val="single" w:color="4CAF50" w:sz="6"/>
        </w:pBdr>
        <w:shd w:fill="E8F5E9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✓  Gesamtbewertung:  </w:t>
      </w:r>
      <w:r>
        <w:rPr>
          <w:rFonts w:ascii="Arial" w:cs="Arial" w:eastAsia="Arial" w:hAnsi="Arial"/>
          <w:sz w:val="22"/>
          <w:szCs w:val="22"/>
        </w:rPr>
        <w:t xml:space="preserve">✅ Einreichungsreif</w:t>
      </w:r>
      <w:r>
        <w:rPr>
          <w:rFonts w:ascii="Arial" w:cs="Arial" w:eastAsia="Arial" w:hAnsi="Arial"/>
          <w:sz w:val="22"/>
          <w:szCs w:val="22"/>
        </w:rPr>
        <w:br/>
        <w:t xml:space="preserve">Grundschul-Check entfällt – Erweiterung wird nach BARMER-Freigabe in Phase 6a eingebaut.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1. Rahmendaten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Arbeitstitel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„Gesundheitsmythen im Netz – Was stimmt wirklich?“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Alternativtitel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„Fakt oder Fake? Gesundheitsbehauptungen kritisch prüfen“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Zielgruppe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Lehrkräfte weiterführender Schulen (Sekundarstufe I + II)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Altersgruppe Lernende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11–18 Jahre (mit Binnendifferenzierung)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Dauer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 Minuten (Doppelstunde)</w:t>
            </w:r>
          </w:p>
        </w:tc>
      </w:tr>
      <w:tr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DSGVO-Hinweis</w:t>
            </w:r>
          </w:p>
        </w:tc>
        <w:tc>
          <w:tcPr>
            <w:tcW w:type="dxa" w:w="6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Alle Methoden ohne Registrierung/personenbezogene Daten umsetzbar; Arbeit mit fiktiven Beispielen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2. Leitfrage</w:t>
      </w:r>
    </w:p>
    <w:p>
      <w:pPr>
        <w:pBdr>
          <w:top w:val="single" w:color="FFD700" w:sz="6"/>
          <w:bottom w:val="single" w:color="FFD700" w:sz="6"/>
          <w:left w:val="single" w:color="FFD700" w:sz="18"/>
          <w:right w:val="single" w:color="FFD700" w:sz="6"/>
        </w:pBdr>
        <w:shd w:fill="FFF9C4" w:val="clear"/>
        <w:spacing w:after="120" w:before="120"/>
        <w:ind w:lef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Leitfrage  </w:t>
      </w:r>
      <w:r>
        <w:rPr>
          <w:rFonts w:ascii="Arial" w:cs="Arial" w:eastAsia="Arial" w:hAnsi="Arial"/>
          <w:sz w:val="22"/>
          <w:szCs w:val="22"/>
        </w:rPr>
        <w:t xml:space="preserve">Wie erkenne ich verlässliche Gesundheitsinformationen im Netz –</w:t>
      </w:r>
      <w:r>
        <w:rPr>
          <w:rFonts w:ascii="Arial" w:cs="Arial" w:eastAsia="Arial" w:hAnsi="Arial"/>
          <w:sz w:val="22"/>
          <w:szCs w:val="22"/>
        </w:rPr>
        <w:br/>
        <w:t xml:space="preserve">und warum ist das für meine körperliche und mentale Gesundheit wichtig?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3. Kernbotschaften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Nicht alles, was viral geht, ist wahr – Gesundheitsmythen verbreiten sich online besonders schnell, weil sie einfache Lösungen versprechen.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Körperbilder und Gesundheitsideale sind oft konstruiert – Social Media zeigt unrealistische, teilweise gesundheitsschädliche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Wissenschaftliche Quellen erkennen schützt – Wer Fakten von Mythen unterscheiden kann, trifft bessere Gesundheitsentscheidungen.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Kritisches Denken ist Gesundheitsschutz – Medienkompetenz befähigt zu informierten Entscheidungen über den eigenen Körper.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4. Abgrenzung zu bestehenden Handreichungen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Bestehende LH</w:t>
            </w:r>
          </w:p>
        </w:tc>
        <w:tc>
          <w:tcPr>
            <w:tcW w:type="dxa" w:w="358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Schwerpunkt bisher</w:t>
            </w:r>
          </w:p>
        </w:tc>
        <w:tc>
          <w:tcPr>
            <w:tcW w:type="dxa" w:w="358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Diese LH – neuer Blickwinkel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LH6 Desinformation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Fake News allgemein, politische Fehlinformation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Gesundheitsspezifische Falschinformationen</w:t>
            </w:r>
          </w:p>
        </w:tc>
      </w:tr>
      <w:tr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LH19 Körperbilder</w:t>
            </w:r>
          </w:p>
        </w:tc>
        <w:tc>
          <w:tcPr>
            <w:tcW w:type="dxa" w:w="35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Schönheitsideale und Bildmanipulation</w:t>
            </w:r>
          </w:p>
        </w:tc>
        <w:tc>
          <w:tcPr>
            <w:tcW w:type="dxa" w:w="35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Gesundheitsmythen zu Körper, Ernährung, „Wellness“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LH8 Digital stark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Gesunde Gewohnheiten (Schlaf, Bewegung)</w:t>
            </w:r>
          </w:p>
        </w:tc>
        <w:tc>
          <w:tcPr>
            <w:tcW w:type="dxa" w:w="3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Kritische Bewertung von Gesundheitsbehauptungen</w:t>
            </w:r>
          </w:p>
        </w:tc>
      </w:tr>
      <w:tr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LH7 Influencer:innen</w:t>
            </w:r>
          </w:p>
        </w:tc>
        <w:tc>
          <w:tcPr>
            <w:tcW w:type="dxa" w:w="35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Werbung erkennen</w:t>
            </w:r>
          </w:p>
        </w:tc>
        <w:tc>
          <w:tcPr>
            <w:tcW w:type="dxa" w:w="358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Gesundheits-Influencer:innen und ihre Aussagen prüfen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Neuer Blickwinkel: </w:t>
      </w:r>
      <w:r>
        <w:rPr>
          <w:rFonts w:ascii="Arial" w:cs="Arial" w:eastAsia="Arial" w:hAnsi="Arial"/>
          <w:sz w:val="22"/>
          <w:szCs w:val="22"/>
        </w:rPr>
        <w:t xml:space="preserve">Keine bisherige LH verbindet Faktencheck-Kompetenz mit gesundheitsspezifischen Inhalten und Körperbild-Reflexion in einer Einheit.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5. Gesundheitsbezug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Körperliche Gesundheit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Gefährliche Gesundheitstrends (extreme Diäten, fragwürdige Challenges, „Detox“-Produkte)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Risiken durch Falschinformationen zu Ernährung, Nahrungsergänzung, Medikamenten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Unrealistische Körperbilder als Motivation für ungesunde Verhaltensweisen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Psychische Gesundheit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Druck durch idealisierte Körperbilder und Gesundheitsstandards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Verunsicherung und Stress durch widersprüchliche Gesundheitsinfos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Schamgefühle und Selbstwertverluste durch Online-Vergleiche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Medienkompetenz als Schutzfaktor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Wissenschaftliche Quellen von Meinungen unterscheiden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Kommerzielle Interessen hinter Gesundheitsbehauptungen erkennen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Selbstbestimmte, informierte Entscheidungen über die eigene Gesundheit treffen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6. Ablaufstruktur (Überblick, 90 Min.)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29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Inhalt (Kurzform)</w:t>
            </w:r>
          </w:p>
        </w:tc>
        <w:tc>
          <w:tcPr>
            <w:tcW w:type="dxa" w:w="7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Zeit</w:t>
            </w:r>
          </w:p>
        </w:tc>
        <w:tc>
          <w:tcPr>
            <w:tcW w:type="dxa" w:w="3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Sek I / Sek II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„Glaubst du das?“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Gesundheitsbehauptungen; „Daumen hoch/runter“; Brückenfrage zu Gesundheitsentscheidungen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TikTok/Instagram
Sek II: + Gesundheitsblogs, pseudowiss. Studien</w:t>
            </w:r>
          </w:p>
        </w:tc>
      </w:tr>
      <w:tr>
        <w:tc>
          <w:tcPr>
            <w:tcW w:type="dxa" w:w="5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Warum verbreiten sich Mythen?</w:t>
            </w:r>
          </w:p>
        </w:tc>
        <w:tc>
          <w:tcPr>
            <w:tcW w:type="dxa" w:w="29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Verbreitungsmechanismen; psychische Gesundheitsfolgen von Fehlinformation benennen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Min.</w:t>
            </w:r>
          </w:p>
        </w:tc>
        <w:tc>
          <w:tcPr>
            <w:tcW w:type="dxa" w:w="3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konkrete Beispiele
Sek II: + Dunning-Kruger, Bestätigungsfehler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Faktencheck-Werkstatt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QQQQ-Methode; 4 Behauptungen in Gruppen prüfen; Präsentation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Min.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vereinfachte Checkliste
Sek II: + Studienqualität, Eigenrecherche</w:t>
            </w:r>
          </w:p>
        </w:tc>
      </w:tr>
      <w:tr>
        <w:tc>
          <w:tcPr>
            <w:tcW w:type="dxa" w:w="5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Körperbilder &amp; Mythen</w:t>
            </w:r>
          </w:p>
        </w:tc>
        <w:tc>
          <w:tcPr>
            <w:tcW w:type="dxa" w:w="29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fiktive Influencer-Profile analysieren (Fitness / Ernährung / Beauty)</w:t>
            </w:r>
          </w:p>
        </w:tc>
        <w:tc>
          <w:tcPr>
            <w:tcW w:type="dxa" w:w="7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Min.</w:t>
            </w:r>
          </w:p>
        </w:tc>
        <w:tc>
          <w:tcPr>
            <w:tcW w:type="dxa" w:w="3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Beschreiben, Erkennen
Sek II: + Geschäftsmodelle, Essstörungen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„Wahr oder Fake?“-Quiz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Quiz-Fragen erstellen und spielen; „Mein Faktencheck-Versprechen“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 Min.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Sek I: Multiple Choice
Sek II: offene Fragen + Quellenangabe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7. Materialübersicht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Nr.</w:t>
            </w:r>
          </w:p>
        </w:tc>
        <w:tc>
          <w:tcPr>
            <w:tcW w:type="dxa" w:w="57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Material</w:t>
            </w:r>
          </w:p>
        </w:tc>
        <w:tc>
          <w:tcPr>
            <w:tcW w:type="dxa" w:w="22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Einsatz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Bildmaterial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Collage: 8 Gesundheitsbehauptungen aus Social Media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1</w:t>
            </w:r>
          </w:p>
        </w:tc>
        <w:tc>
          <w:tcPr>
            <w:tcW w:type="dxa" w:w="5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Verbreitungsmechanismen: „Warum verbreiten sich Mythen?“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2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QQQQ-Methode, Quellencheck-Checkliste, Liste verlässlicher Quellen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3a–d</w:t>
            </w:r>
          </w:p>
        </w:tc>
        <w:tc>
          <w:tcPr>
            <w:tcW w:type="dxa" w:w="5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Praxis-Faktencheck: 4 Gesundheitsbehauptungen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4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Influencer-Analyse: 3 fiktive Profile (Fitness / Ernährung / Beauty)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 5</w:t>
            </w:r>
          </w:p>
        </w:tc>
        <w:tc>
          <w:tcPr>
            <w:tcW w:type="dxa" w:w="57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Quiz-Erstellungsvorlage „Wahr oder Fake?“</w:t>
            </w:r>
          </w:p>
        </w:tc>
        <w:tc>
          <w:tcPr>
            <w:tcW w:type="dxa" w:w="22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Exkurs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Wissenschaft vs. Meinung; verlässliche deutsche Gesundheitsquellen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Lehrkräftebereich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 Materialien in Sek I- und Sek II-Variante. Kein Einsatz digitaler Tools zwingend erforderlich.</w:t>
      </w:r>
    </w:p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8. Offene Fragen / Abstimmungsbedarf mit BARMER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Folgende Punkte benötigen eine Entscheidung vor Beginn des Feinkonzepts: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Nr.</w:t>
            </w:r>
          </w:p>
        </w:tc>
        <w:tc>
          <w:tcPr>
            <w:tcW w:type="dxa" w:w="260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Frage</w:t>
            </w:r>
          </w:p>
        </w:tc>
        <w:tc>
          <w:tcPr>
            <w:tcW w:type="dxa" w:w="6360"/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Optionen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Arbeitstitel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„Gesundheitsmythen im Netz“ (direkt) | „Fakt oder Fake? Gesundheitsinformationen bewerten“ (methodisch)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Bildmaterial</w:t>
            </w:r>
          </w:p>
        </w:tc>
        <w:tc>
          <w:tcPr>
            <w:tcW w:type="dxa" w:w="6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Fiktive Mockups/Screenshots (rechtssicher) oder echte anonymisierte Beispiele?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Vorhandenes Material zu Faktencheck-Methoden oder Neuproduktion?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Quiz-Tool</w:t>
            </w:r>
          </w:p>
        </w:tc>
        <w:tc>
          <w:tcPr>
            <w:tcW w:type="dxa" w:w="6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 (Kahoot, LearningApps) oder analog (Karten)?</w:t>
            </w:r>
          </w:p>
        </w:tc>
      </w:tr>
      <w:t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Influencer-Profile</w:t>
            </w:r>
          </w:p>
        </w:tc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Als Social-Media-Mockups gestalten oder abstrakt mit Textbeschreibung?</w:t>
            </w:r>
          </w:p>
        </w:tc>
      </w:tr>
      <w:tr>
        <w:tc>
          <w:tcPr>
            <w:tcW w:type="dxa" w:w="4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KI-Erweiterung</w:t>
            </w:r>
          </w:p>
        </w:tc>
        <w:tc>
          <w:tcPr>
            <w:tcW w:type="dxa" w:w="6360"/>
            <w:shd w:fill="FFF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Sollen KI-generierte Gesundheitstipps als neue Dimension aufgenommen werden?</w:t>
            </w:r>
          </w:p>
        </w:tc>
      </w:tr>
    </w:tbl>
    <w:p>
      <w:pPr>
        <w:spacing w:after="60" w:before="60"/>
      </w:pPr>
    </w:p>
    <w:p>
      <w:pPr>
        <w:pBdr>
          <w:bottom w:val="single" w:color="FFD700" w:sz="4"/>
        </w:pBdr>
        <w:spacing w:after="140" w:before="32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9. Nächste Schritte nach BARMER-Freigabe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Nach Freigabe durch BARMER startet Phase 5 (Feinkonzept + Arbeitsblätter):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Feinkonzept ausarbeiten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4 Beispiel-Behauptungen für Faktenchecks auswählen und aufbereiten (mit Quellen)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3 fiktive Influencer-Profile entwickeln (Fitness / Ernährung / Beauty)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QQQQ-Methodenblatt und Checklisten erstellen (Sek I / Sek II)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Quiz-Vorlagen entwickeln (Multiple Choice / offen)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Exkurs-Seite ausarbeiten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Ablaufstruktur (6 Phasen) vertiefen – inkl. Platzhalter Grundschul-Erweiterung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Grundschul-Erweiterung in 2 thematisch passenden Phasen einbauen (Phase 6a)</w:t>
      </w:r>
    </w:p>
    <w:p>
      <w:pPr>
        <w:spacing w:after="60" w:before="60"/>
      </w:pPr>
    </w:p>
    <w:p>
      <w:pPr>
        <w:spacing w:after="4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DURCHBLICKT! – Digital in eine gesunde Zukunft  |  BARMER / Klett MEX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Genehmigungsvorlage LH3  |  Autor: Michael Kohl  |  März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2026-03-25T14:49:44.601Z</dcterms:created>
  <dcterms:modified xsi:type="dcterms:W3CDTF">2026-03-25T14:49:44.601Z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