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  <w:spacing w:after="100"/>
      </w:pPr>
      <w:r>
        <w:t xml:space="preserve">软件服务采购合同</w:t>
      </w:r>
    </w:p>
    <w:p>
      <w:pPr>
        <w:jc w:val="center"/>
        <w:spacing w:after="320"/>
        <w:rPr>
          <w:color w:val="657187"/>
        </w:rPr>
      </w:pPr>
      <w:r>
        <w:t xml:space="preserve">修订版本 · 合同审阅示例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合同编号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DDP-2026-0801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签订日期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2026 年 8 月 1 日</w:t>
            </w:r>
          </w:p>
        </w:tc>
      </w:tr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星河科技有限公司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云帆软件服务有限公司</w:t>
            </w:r>
          </w:p>
        </w:tc>
      </w:tr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合同金额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人民币 1,200,000 元（含税）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服务期限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12 个月</w:t>
            </w:r>
          </w:p>
        </w:tc>
      </w:tr>
    </w:tbl>
    <w:p>
      <w:pPr>
        <w:jc w:val="both"/>
        <w:spacing w:after="120"/>
      </w:pPr>
      <w:r>
        <w:t xml:space="preserve">甲乙双方依据《中华人民共和国民法典》《数据安全法》及相关法律法规，就企业文档审阅平台建设与持续技术服务事宜，经充分协商共同订立本合同。</w:t>
      </w:r>
    </w:p>
    <w:p>
      <w:pPr>
        <w:pStyle w:val="Heading2"/>
        <w:keepNext/>
        <w:spacing w:before="260" w:after="100"/>
      </w:pPr>
      <w:r>
        <w:t xml:space="preserve">第一条　服务范围</w:t>
      </w:r>
    </w:p>
    <w:p>
      <w:pPr>
        <w:jc w:val="both"/>
        <w:spacing w:after="120"/>
      </w:pPr>
      <w:r>
        <w:t xml:space="preserve">1.1 乙方负责建设 </w:t>
      </w:r>
      <w:r>
        <w:rPr>
          <w:b/>
        </w:rPr>
        <w:t xml:space="preserve">DocReview Enterprise</w:t>
      </w:r>
      <w:r>
        <w:t xml:space="preserve"> Web 管理端和移动审阅端，包括文档上传、版本比对、审阅记录、权限管理及审计日志模块。</w:t>
      </w:r>
    </w:p>
    <w:p>
      <w:pPr>
        <w:jc w:val="both"/>
        <w:spacing w:after="120"/>
      </w:pPr>
      <w:r>
        <w:t xml:space="preserve">1.2 乙方应完成历史文档数据迁移、统一身份认证和 3 个外部业务系统的 API 集成，并提供部署手册、管理员手册、接口文档及两次现场培训。</w:t>
      </w:r>
    </w:p>
    <w:p>
      <w:pPr>
        <w:jc w:val="both"/>
        <w:spacing w:after="120"/>
      </w:pPr>
      <w:r>
        <w:t xml:space="preserve">1.3 项目部署于甲方指定的私有云环境，生产数据和备份数据均不得离开中国大陆境内。</w:t>
      </w:r>
    </w:p>
    <w:p>
      <w:pPr>
        <w:pStyle w:val="Heading2"/>
        <w:keepNext/>
        <w:spacing w:before="260" w:after="100"/>
      </w:pPr>
      <w:r>
        <w:t xml:space="preserve">第二条　交付与验收</w:t>
      </w:r>
    </w:p>
    <w:p>
      <w:pPr>
        <w:numPr>
          <w:ilvl w:val="0"/>
          <w:numId w:val="1"/>
        </w:numPr>
        <w:spacing w:after="100"/>
      </w:pPr>
      <w:r>
        <w:t xml:space="preserve">乙方应于 2026 年 12 月 15 日前完成系统上线，并提交源代码、部署包、自动化测试报告和开源软件清单。</w:t>
      </w:r>
    </w:p>
    <w:p>
      <w:pPr>
        <w:numPr>
          <w:ilvl w:val="0"/>
          <w:numId w:val="1"/>
        </w:numPr>
        <w:spacing w:after="100"/>
      </w:pPr>
      <w:r>
        <w:t xml:space="preserve">甲方应在收到交付物后 </w:t>
      </w:r>
      <w:r>
        <w:rPr>
          <w:b/>
        </w:rPr>
        <w:t xml:space="preserve">5 个工作日</w:t>
      </w:r>
      <w:r>
        <w:t xml:space="preserve">内完成验收，并按严重、一般、建议三个级别反馈问题清单。</w:t>
      </w:r>
    </w:p>
    <w:p>
      <w:pPr>
        <w:numPr>
          <w:ilvl w:val="0"/>
          <w:numId w:val="1"/>
        </w:numPr>
        <w:spacing w:after="100"/>
      </w:pPr>
      <w:r>
        <w:t xml:space="preserve">上线前应通过漏洞扫描和数据恢复演练；存在高危漏洞时不得进入生产环境。</w:t>
      </w:r>
    </w:p>
    <w:p>
      <w:pPr>
        <w:numPr>
          <w:ilvl w:val="0"/>
          <w:numId w:val="1"/>
        </w:numPr>
        <w:spacing w:after="100"/>
      </w:pPr>
      <w:r>
        <w:t xml:space="preserve">各阶段交付物均以双方签署的书面验收单作为验收完成依据。</w:t>
      </w:r>
    </w:p>
    <w:p>
      <w:pPr>
        <w:pStyle w:val="Heading2"/>
        <w:keepNext/>
        <w:spacing w:before="260" w:after="100"/>
      </w:pPr>
      <w:r>
        <w:t xml:space="preserve">第三条　费用与支付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付款阶段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付款比例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触发条件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付款期限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预付款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20%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合同生效并收到合法增值税专用发票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7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里程碑款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30%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完成核心模块演示并经甲方书面确认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上线款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40%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生产环境上线并通过最终验收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质保款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质保期届满且无未解决严重或高危缺陷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15 个工作日</w:t>
            </w:r>
          </w:p>
        </w:tc>
      </w:tr>
    </w:tbl>
    <w:p>
      <w:pPr>
        <w:jc w:val="both"/>
        <w:spacing w:after="120"/>
      </w:pPr>
      <w:r>
        <w:t xml:space="preserve">上述价款包含软件开发、实施、培训、接口联调、差旅和税费；新增需求按照双方确认的变更单另行结算。</w:t>
      </w:r>
    </w:p>
    <w:p>
      <w:pPr>
        <w:pStyle w:val="Heading2"/>
        <w:keepNext/>
        <w:spacing w:before="260" w:after="100"/>
      </w:pPr>
      <w:r>
        <w:t xml:space="preserve">第四条　服务等级与质保</w:t>
      </w:r>
    </w:p>
    <w:p>
      <w:pPr>
        <w:numPr>
          <w:ilvl w:val="0"/>
          <w:numId w:val="2"/>
        </w:numPr>
        <w:spacing w:after="100"/>
      </w:pPr>
      <w:r>
        <w:t xml:space="preserve">系统月度可用性不低于 99.9%，计划维护应至少提前 3 个工作日通知。</w:t>
      </w:r>
    </w:p>
    <w:p>
      <w:pPr>
        <w:numPr>
          <w:ilvl w:val="0"/>
          <w:numId w:val="2"/>
        </w:numPr>
        <w:spacing w:after="100"/>
      </w:pPr>
      <w:r>
        <w:t xml:space="preserve">严重故障应在 30 分钟内响应，4 小时内恢复核心服务。</w:t>
      </w:r>
    </w:p>
    <w:p>
      <w:pPr>
        <w:numPr>
          <w:ilvl w:val="0"/>
          <w:numId w:val="2"/>
        </w:numPr>
        <w:spacing w:after="100"/>
      </w:pPr>
      <w:r>
        <w:t xml:space="preserve">项目最终验收后提供 180 日免费质保及每月一次健康检查。</w:t>
      </w:r>
    </w:p>
    <w:p>
      <w:pPr>
        <w:numPr>
          <w:ilvl w:val="0"/>
          <w:numId w:val="2"/>
        </w:numPr>
        <w:spacing w:after="100"/>
      </w:pPr>
      <w:r>
        <w:t xml:space="preserve">月度可用性低于约定指标的，每降低 0.1%，乙方应减免当月服务费的 2%。</w:t>
      </w:r>
    </w:p>
    <w:p>
      <w:pPr>
        <w:pStyle w:val="Heading2"/>
        <w:keepNext/>
        <w:spacing w:before="260" w:after="100"/>
      </w:pPr>
      <w:r>
        <w:t xml:space="preserve">第五条　数据安全与保密</w:t>
      </w:r>
    </w:p>
    <w:p>
      <w:pPr>
        <w:jc w:val="both"/>
        <w:spacing w:after="120"/>
      </w:pPr>
      <w:r>
        <w:t xml:space="preserve">5.1 双方对履约过程中获悉的商业秘密、个人信息、源代码和技术资料承担保密义务，保密期限为合同终止后 5 年。</w:t>
      </w:r>
    </w:p>
    <w:p>
      <w:pPr>
        <w:jc w:val="both"/>
        <w:spacing w:after="120"/>
      </w:pPr>
      <w:r>
        <w:t xml:space="preserve">5.2 未经信息提供方事先书面许可，任何一方不得向任何第三方披露、复制、转授权或用于本合同之外的目的。</w:t>
      </w:r>
    </w:p>
    <w:p>
      <w:pPr>
        <w:jc w:val="both"/>
        <w:spacing w:after="120"/>
      </w:pPr>
      <w:r>
        <w:t xml:space="preserve">5.3 因一方原因造成数据泄露的，责任方应在 2 小时内通知对方，并承担调查、修复及监管处置产生的合理费用。</w:t>
      </w:r>
    </w:p>
    <w:p>
      <w:pPr>
        <w:pStyle w:val="Heading2"/>
        <w:keepNext/>
        <w:spacing w:before="260" w:after="100"/>
      </w:pPr>
      <w:r>
        <w:t xml:space="preserve">第六条　变更与终止</w:t>
      </w:r>
    </w:p>
    <w:p>
      <w:pPr>
        <w:jc w:val="both"/>
        <w:spacing w:after="120"/>
      </w:pPr>
      <w:r>
        <w:t xml:space="preserve">6.1 项目范围、进度、人员或费用发生变化时，双方应完成影响评估并签署书面变更单后执行。</w:t>
      </w:r>
    </w:p>
    <w:p>
      <w:pPr>
        <w:jc w:val="both"/>
        <w:spacing w:after="120"/>
      </w:pPr>
      <w:r>
        <w:t xml:space="preserve">6.2 任一方需要提前终止合同的，应至少提前 15 日书面通知对方，并结清经确认的已完成工作对应费用。</w:t>
      </w:r>
    </w:p>
    <w:p>
      <w:pPr>
        <w:jc w:val="both"/>
        <w:spacing w:after="120"/>
      </w:pPr>
      <w:r>
        <w:t xml:space="preserve">6.3 发生重大数据安全事件、侵犯第三方知识产权或连续两次未达到 SLA 时，守约方有权立即解除合同。</w:t>
      </w:r>
    </w:p>
    <w:p>
      <w:pPr>
        <w:pStyle w:val="Heading2"/>
        <w:keepNext/>
        <w:spacing w:before="260" w:after="100"/>
      </w:pPr>
      <w:r>
        <w:t xml:space="preserve">第七条　知识产权</w:t>
      </w:r>
    </w:p>
    <w:p>
      <w:pPr>
        <w:jc w:val="both"/>
        <w:spacing w:after="120"/>
      </w:pPr>
      <w:r>
        <w:t xml:space="preserve">甲方付清对应阶段款项后，该阶段定制开发成果及技术文档归甲方所有；乙方原有通用工具和组件仍归乙方所有，但应授予甲方永久、免费的内部使用权。</w:t>
      </w:r>
    </w:p>
    <w:p>
      <w:pPr>
        <w:jc w:val="both"/>
        <w:spacing w:after="120"/>
      </w:pPr>
      <w:r>
        <w:t xml:space="preserve">乙方应提供开源软件及第三方组件清单，并保证相关许可证不会限制甲方对交付成果的正常使用。</w:t>
      </w:r>
    </w:p>
    <w:p>
      <w:pPr>
        <w:pStyle w:val="Heading2"/>
        <w:keepNext/>
        <w:spacing w:before="260" w:after="100"/>
      </w:pPr>
      <w:r>
        <w:t xml:space="preserve">第八条　争议解决</w:t>
      </w:r>
    </w:p>
    <w:p>
      <w:pPr>
        <w:jc w:val="both"/>
        <w:spacing w:after="120"/>
      </w:pPr>
      <w:r>
        <w:t xml:space="preserve">因本合同产生的争议，双方应先行协商或申请行业调解；协商或调解不成的，提交深圳国际仲裁院按照届时有效规则仲裁。</w:t>
      </w:r>
    </w:p>
    <w:p>
      <w:pPr>
        <w:pStyle w:val="Heading2"/>
        <w:keepNext/>
        <w:spacing w:before="260" w:after="100"/>
      </w:pPr>
      <w:r>
        <w:t xml:space="preserve">第九条　联系与签署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项目角色</w:t>
            </w:r>
          </w:p>
        </w:tc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甲方联系人</w:t>
            </w:r>
          </w:p>
        </w:tc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乙方联系人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项目负责人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李明 · liming@example.com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周航 · zhouhang@example.com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数据安全负责人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王璐 · wanglu@example.com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陈卓 · chenzhuo@example.com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紧急联系电话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021-5566 8899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0755-2288 6677</w:t>
            </w:r>
          </w:p>
        </w:tc>
      </w:tr>
    </w:tbl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500"/>
        <w:gridCol w:w="4500"/>
      </w:tblGrid>
      <w:tr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甲方（盖章）</w:t>
            </w:r>
          </w:p>
        </w:tc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乙方（盖章）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</w:tr>
    </w:tbl>
    <w:sectPr>
      <w:headerReference w:type="default" r:id="rId3"/>
      <w:footerReference w:type="default" r:id="rId4"/>
      <w:pgSz w:w="11906" w:h="16838"/>
      <w:pgMar w:top="1080" w:right="1080" w:bottom="1080" w:left="1080" w:header="540" w:footer="54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6" w:space="6" w:color="D2D7DF"/>
      </w:pBdr>
      <w:jc w:val="center"/>
      <w:spacing w:before="80"/>
    </w:pPr>
    <w:r>
      <w:rPr>
        <w:sz w:val="18"/>
        <w:color w:val="657187"/>
      </w:rPr>
      <w:t xml:space="preserve">DocDiff Pro 示例文档 ·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color w:val="65718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sz w:val="18"/>
        <w:color w:val="657187"/>
      </w:rPr>
      <w:t> 页</w:t>
    </w:r>
  </w:p>
</w:ftr>
</file>

<file path=word/header1.xml><?xml version="1.0" encoding="utf-8"?>
<w:hdr xmlns:w="http://schemas.openxmlformats.org/wordprocessingml/2006/main">
  <w:p>
    <w:pPr>
      <w:pBdr>
        <w:bottom w:val="single" w:sz="6" w:space="6" w:color="A8B2C1"/>
      </w:pBdr>
      <w:tabs>
        <w:tab w:val="right" w:pos="9000"/>
      </w:tabs>
      <w:spacing w:after="80"/>
    </w:pPr>
    <w:r>
      <w:rPr>
        <w:b/>
        <w:sz w:val="18"/>
        <w:color w:val="354154"/>
      </w:rPr>
      <w:t>软件服务采购合同</w:t>
    </w:r>
    <w:r>
      <w:tab/>
    </w:r>
    <w:r>
      <w:rPr>
        <w:sz w:val="18"/>
        <w:color w:val="657187"/>
      </w:rPr>
      <w:t>合同编号：DDP-2026-0801 · 机密资料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Arial" w:eastAsia="PingFang SC" w:hAnsi="Arial"/>
        <w:sz w:val="22"/>
        <w:szCs w:val="22"/>
        <w:lang w:val="en-US" w:eastAsia="zh-CN"/>
      </w:rPr>
    </w:rPrDefault>
    <w:pPrDefault>
      <w:pPr>
        <w:spacing w:line="36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rPr>
      <w:b/>
      <w:sz w:val="40"/>
      <w:szCs w:val="40"/>
      <w:color w:val="18202D"/>
    </w:rPr>
  </w:style>
  <w:style w:type="paragraph" w:styleId="Heading2">
    <w:name w:val="heading 2"/>
    <w:basedOn w:val="Normal"/>
    <w:next w:val="Normal"/>
    <w:qFormat/>
    <w:pPr>
      <w:keepNext/>
    </w:pPr>
    <w:rPr>
      <w:b/>
      <w:sz w:val="28"/>
      <w:szCs w:val="28"/>
      <w:color w:val="18202D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