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预算与付款计划</w:t>
      </w:r>
    </w:p>
    <w:tbl>
      <w:tblPr/>
      <w:tblGrid>
        <w:gridCol w:w="2200"/>
        <w:gridCol w:w="2200"/>
        <w:gridCol w:w="2200"/>
      </w:tblGrid>
      <w:tr>
        <w:tc>
          <w:tcPr>
            <w:gridSpan w:val="2"/>
          </w:tcPr>
          <w:p>
            <w:r>
              <w:t xml:space="preserve">预算汇总</w:t>
            </w:r>
          </w:p>
        </w:tc>
        <w:tc>
          <w:tcPr/>
          <w:p>
            <w:r>
              <w:t xml:space="preserve">执行说明</w:t>
            </w:r>
          </w:p>
        </w:tc>
      </w:tr>
      <w:tr>
        <w:tc>
          <w:tcPr>
            <w:vMerge w:val="restart"/>
          </w:tcPr>
          <w:p>
            <w:r>
              <w:t xml:space="preserve">服务费</w:t>
            </w:r>
          </w:p>
        </w:tc>
        <w:tc>
          <w:tcPr/>
          <w:p>
            <w:r>
              <w:t xml:space="preserve">120000.00</w:t>
            </w:r>
          </w:p>
        </w:tc>
        <w:tc>
          <w:tcPr/>
          <w:p>
            <w:r>
              <w:t xml:space="preserve">分期付款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20000.00</w:t>
            </w:r>
          </w:p>
        </w:tc>
        <w:tc>
          <w:tcPr/>
          <w:p>
            <w:r>
              <w:t xml:space="preserve">验收付款</w:t>
            </w:r>
          </w:p>
        </w:tc>
      </w:tr>
    </w:tbl>
    <w:p>
      <w:r>
        <w:t xml:space="preserve">付款计划附图 1</w:t>
      </w:r>
    </w:p>
    <w:p>
      <w:r>
        <w:drawing>
          <wp:inline>
            <wp:extent cx="2438400" cy="2438400"/>
            <wp:docPr id="1" name="Payment chart 1"/>
            <a:graphic>
              <a:graphicData uri="http://schemas.openxmlformats.org/drawingml/2006/picture">
                <pic:pic>
                  <pic:nvPicPr>
                    <pic:cNvPr id="1" name="Payment chart 1"/>
                    <pic:cNvPicPr/>
                  </pic:nvPicPr>
                  <pic:blipFill>
                    <a:blip r:embed="firs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付款计划附图 2</w:t>
      </w:r>
    </w:p>
    <w:p>
      <w:r>
        <w:drawing>
          <wp:inline>
            <wp:extent cx="2438400" cy="2438400"/>
            <wp:docPr id="2" name="Payment chart 2"/>
            <a:graphic>
              <a:graphicData uri="http://schemas.openxmlformats.org/drawingml/2006/picture">
                <pic:pic>
                  <pic:nvPicPr>
                    <pic:cNvPr id="2" name="Payment chart 2"/>
                    <pic:cNvPicPr/>
                  </pic:nvPicPr>
                  <pic:blipFill>
                    <a:blip r:embed="second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付款计划附图 3</w:t>
      </w:r>
    </w:p>
    <w:p>
      <w:r>
        <w:drawing>
          <wp:inline>
            <wp:extent cx="2438400" cy="2438400"/>
            <wp:docPr id="3" name="Payment chart 3"/>
            <a:graphic>
              <a:graphicData uri="http://schemas.openxmlformats.org/drawingml/2006/picture">
                <pic:pic>
                  <pic:nvPicPr>
                    <pic:cNvPr id="3" name="Payment chart 3"/>
                    <pic:cNvPicPr/>
                  </pic:nvPicPr>
                  <pic:blipFill>
                    <a:blip r:embed="third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_rels/document.xml.rels><Relationships xmlns="http://schemas.openxmlformats.org/package/2006/relationships"><Relationship Id="first" Type="http://schemas.openxmlformats.org/officeDocument/2006/relationships/image" Target="media/first.png"/><Relationship Id="second" Type="http://schemas.openxmlformats.org/officeDocument/2006/relationships/image" Target="media/second.png"/><Relationship Id="third" Type="http://schemas.openxmlformats.org/officeDocument/2006/relationships/image" Target="media/third.png"/></Relationships>
</file>