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SOAP</w:t>
      </w:r>
      <w:r w:rsidDel="00000000" w:rsidR="00000000" w:rsidRPr="00000000">
        <w:rPr>
          <w:rtl w:val="0"/>
        </w:rPr>
        <w:t xml:space="preserve"> - Simple Object Access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É um protocolo baseado em XML que permite que diferentes aplicações possam trocar informações utilizando HTTP. Protocolo para acessar Web Services.</w:t>
      </w:r>
    </w:p>
    <w:p w:rsidR="00000000" w:rsidDel="00000000" w:rsidP="00000000" w:rsidRDefault="00000000" w:rsidRPr="00000000" w14:paraId="0000000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Comunicação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Comunicação entre aplicativos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Independente de plataforma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Independente da linguagem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Baseado em XML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Formato para envio de mensagens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Simples e extensivo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Permite contornar firewalls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Recomendação da W3C</w:t>
      </w:r>
    </w:p>
    <w:p w:rsidR="00000000" w:rsidDel="00000000" w:rsidP="00000000" w:rsidRDefault="00000000" w:rsidRPr="00000000" w14:paraId="0000000E">
      <w:pPr>
        <w:ind w:left="720" w:firstLine="0"/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Elementos da Mensagem SOAP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Envelope</w:t>
      </w:r>
      <w:r w:rsidDel="00000000" w:rsidR="00000000" w:rsidRPr="00000000">
        <w:rPr>
          <w:rtl w:val="0"/>
        </w:rPr>
        <w:t xml:space="preserve">: identifica o documento XML como uma mensagem SOAP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contém informações de cabeçalho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contém informações de chamadas e respostas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Fault</w:t>
      </w:r>
      <w:r w:rsidDel="00000000" w:rsidR="00000000" w:rsidRPr="00000000">
        <w:rPr>
          <w:rtl w:val="0"/>
        </w:rPr>
        <w:t xml:space="preserve">: contém erros e informações de status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Syntaxe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mensagem SOAP deve ser codificada usando XML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mensagem SOAP usa o SOAP Envelope namespace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mensagem SOAP deve usar o SOAP Encoding namespace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mensagem SOAP não contém referência DTD.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mensagem SOAP não contêm instruções de processamento XML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elemento Envelope é o </w:t>
      </w:r>
      <w:r w:rsidDel="00000000" w:rsidR="00000000" w:rsidRPr="00000000">
        <w:rPr>
          <w:color w:val="ff0000"/>
          <w:highlight w:val="cyan"/>
          <w:rtl w:val="0"/>
        </w:rPr>
        <w:t xml:space="preserve">elemento raiz</w:t>
      </w:r>
      <w:r w:rsidDel="00000000" w:rsidR="00000000" w:rsidRPr="00000000">
        <w:rPr>
          <w:rtl w:val="0"/>
        </w:rPr>
        <w:t xml:space="preserve"> de uma mensagem SOAP, este elemento define o documento XML como sendo uma mensagem SOAP.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REST 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APi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WSDL 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XML 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XSD 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JSON 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