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r w:rsidDel="00000000" w:rsidR="00000000" w:rsidRPr="00000000">
        <w:rPr>
          <w:b w:val="1"/>
          <w:bCs w:val="1"/>
          <w:rtl w:val="0"/>
        </w:rPr>
        <w:t xml:space="preserve">Security Policy Presentation Script</w:t>
      </w:r>
    </w:p>
    <w:p w:rsidR="00000000" w:rsidDel="00000000" w:rsidP="00000000" w:rsidRDefault="00000000" w:rsidRPr="00000000" w14:paraId="00000002">
      <w:pPr>
        <w:pStyle w:val="Subtitle"/>
        <w:rPr/>
      </w:pPr>
      <w:bookmarkStart w:colFirst="0" w:colLast="0" w:name="_1fob9te" w:id="0"/>
      <w:bookmarkEnd w:id="0"/>
      <w:r w:rsidDel="00000000" w:rsidR="00000000" w:rsidRPr="00000000">
        <w:rPr>
          <w:rtl w:val="0"/>
        </w:rPr>
        <w:t xml:space="preserve">Zion D. Kinniebrew-Jenkins</w:t>
      </w:r>
    </w:p>
    <w:p w:rsidR="00000000" w:rsidDel="00000000" w:rsidP="00000000" w:rsidRDefault="00000000" w:rsidRPr="00000000" w14:paraId="00000003">
      <w:pPr>
        <w:pStyle w:val="Subtitle"/>
        <w:rPr/>
      </w:pPr>
      <w:bookmarkStart w:colFirst="0" w:colLast="0" w:name="_3znysh7" w:id="1"/>
      <w:bookmarkEnd w:id="1"/>
      <w:r w:rsidDel="00000000" w:rsidR="00000000" w:rsidRPr="00000000">
        <w:rPr>
          <w:rtl w:val="0"/>
        </w:rPr>
        <w:t xml:space="preserve">Southern New Hampshire University</w:t>
      </w:r>
    </w:p>
    <w:p w:rsidR="00000000" w:rsidDel="00000000" w:rsidP="00000000" w:rsidRDefault="00000000" w:rsidRPr="00000000" w14:paraId="00000004">
      <w:pPr>
        <w:pStyle w:val="Subtitle"/>
        <w:rPr>
          <w:i w:val="1"/>
          <w:iCs w:val="1"/>
        </w:rPr>
      </w:pPr>
      <w:bookmarkStart w:colFirst="0" w:colLast="0" w:name="_2et92p0" w:id="2"/>
      <w:bookmarkEnd w:id="2"/>
      <w:r w:rsidDel="00000000" w:rsidR="00000000" w:rsidRPr="00000000">
        <w:rPr>
          <w:rtl w:val="0"/>
        </w:rPr>
        <w:t xml:space="preserve">CS-405-16798-M01 Secure Coding </w:t>
      </w:r>
      <w:r w:rsidDel="00000000" w:rsidR="00000000" w:rsidRPr="00000000">
        <w:rPr>
          <w:rtl w:val="0"/>
        </w:rPr>
      </w:r>
    </w:p>
    <w:p w:rsidR="00000000" w:rsidDel="00000000" w:rsidP="00000000" w:rsidRDefault="00000000" w:rsidRPr="00000000" w14:paraId="00000005">
      <w:pPr>
        <w:pStyle w:val="Subtitle"/>
        <w:rPr>
          <w:i w:val="1"/>
          <w:iCs w:val="1"/>
        </w:rPr>
      </w:pPr>
      <w:bookmarkStart w:colFirst="0" w:colLast="0" w:name="_tyjcwt" w:id="3"/>
      <w:bookmarkEnd w:id="3"/>
      <w:r w:rsidDel="00000000" w:rsidR="00000000" w:rsidRPr="00000000">
        <w:rPr>
          <w:rtl w:val="0"/>
        </w:rPr>
        <w:t xml:space="preserve">Prasad, Mike</w:t>
      </w:r>
      <w:r w:rsidDel="00000000" w:rsidR="00000000" w:rsidRPr="00000000">
        <w:rPr>
          <w:rtl w:val="0"/>
        </w:rPr>
      </w:r>
    </w:p>
    <w:p w:rsidR="00000000" w:rsidDel="00000000" w:rsidP="00000000" w:rsidRDefault="00000000" w:rsidRPr="00000000" w14:paraId="00000006">
      <w:pPr>
        <w:pStyle w:val="Subtitle"/>
        <w:rPr/>
      </w:pPr>
      <w:bookmarkStart w:colFirst="0" w:colLast="0" w:name="_tegipn3ub6sg" w:id="4"/>
      <w:bookmarkEnd w:id="4"/>
      <w:r w:rsidDel="00000000" w:rsidR="00000000" w:rsidRPr="00000000">
        <w:rPr>
          <w:rtl w:val="0"/>
        </w:rPr>
        <w:t xml:space="preserve">04/19/2026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Presenter:</w:t>
      </w:r>
      <w:r w:rsidDel="00000000" w:rsidR="00000000" w:rsidRPr="00000000">
        <w:rPr>
          <w:rtl w:val="0"/>
        </w:rPr>
        <w:t xml:space="preserve"> Zion Kinniebrew-Jenkins</w:t>
      </w:r>
    </w:p>
    <w:p w:rsidR="00000000" w:rsidDel="00000000" w:rsidP="00000000" w:rsidRDefault="00000000" w:rsidRPr="00000000" w14:paraId="00000019">
      <w:pPr>
        <w:rPr/>
      </w:pPr>
      <w:r w:rsidDel="00000000" w:rsidR="00000000" w:rsidRPr="00000000">
        <w:rPr>
          <w:b w:val="1"/>
          <w:bCs w:val="1"/>
          <w:rtl w:val="0"/>
        </w:rPr>
        <w:t xml:space="preserve">Date:</w:t>
      </w:r>
      <w:r w:rsidDel="00000000" w:rsidR="00000000" w:rsidRPr="00000000">
        <w:rPr>
          <w:rtl w:val="0"/>
        </w:rPr>
        <w:t xml:space="preserve"> April 19, 2026</w:t>
      </w:r>
    </w:p>
    <w:p w:rsidR="00000000" w:rsidDel="00000000" w:rsidP="00000000" w:rsidRDefault="00000000" w:rsidRPr="00000000" w14:paraId="0000001A">
      <w:pPr>
        <w:rPr/>
      </w:pPr>
      <w:r w:rsidDel="00000000" w:rsidR="00000000" w:rsidRPr="00000000">
        <w:rPr>
          <w:b w:val="1"/>
          <w:bCs w:val="1"/>
          <w:rtl w:val="0"/>
        </w:rPr>
        <w:t xml:space="preserve">Assignment:</w:t>
      </w:r>
      <w:r w:rsidDel="00000000" w:rsidR="00000000" w:rsidRPr="00000000">
        <w:rPr>
          <w:rtl w:val="0"/>
        </w:rPr>
        <w:t xml:space="preserve"> Project Two: Security Policy Presentation</w:t>
      </w:r>
    </w:p>
    <w:p w:rsidR="00000000" w:rsidDel="00000000" w:rsidP="00000000" w:rsidRDefault="00000000" w:rsidRPr="00000000" w14:paraId="0000001B">
      <w:pPr>
        <w:rPr/>
      </w:pPr>
      <w:r w:rsidDel="00000000" w:rsidR="00000000" w:rsidRPr="00000000">
        <w:rPr>
          <w:b w:val="1"/>
          <w:bCs w:val="1"/>
          <w:rtl w:val="0"/>
        </w:rPr>
        <w:t xml:space="preserve">Video Link:</w:t>
      </w:r>
      <w:r w:rsidDel="00000000" w:rsidR="00000000" w:rsidRPr="00000000">
        <w:rPr>
          <w:rtl w:val="0"/>
        </w:rPr>
        <w:t xml:space="preserve"> </w:t>
      </w:r>
      <w:hyperlink r:id="rId6">
        <w:r w:rsidDel="00000000" w:rsidR="00000000" w:rsidRPr="00000000">
          <w:rPr>
            <w:color w:val="1155cc"/>
            <w:u w:val="single"/>
            <w:rtl w:val="0"/>
          </w:rPr>
          <w:t xml:space="preserve">[Link to YouTube Video Here]</w:t>
        </w:r>
      </w:hyperlink>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SLIDE 1: Green Pace Security Policy Guide</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(0:00 - 0:15)</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Good evening. I am Zion Kinniebrew-Jenkins, and this presentation details the implementation recommendations for our secure coding policy at Green Pace. The goal is to move beyond simply reacting to breaches and establish a proactive, security-first development lifecycle.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SLIDE 2: OVERVIEW</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(0:15 - 0:35)</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Our policy is built upon the best practice of </w:t>
      </w:r>
      <w:r w:rsidDel="00000000" w:rsidR="00000000" w:rsidRPr="00000000">
        <w:rPr>
          <w:b w:val="1"/>
          <w:bCs w:val="1"/>
          <w:rtl w:val="0"/>
        </w:rPr>
        <w:t xml:space="preserve">Defense-in-Depth</w:t>
      </w:r>
      <w:r w:rsidDel="00000000" w:rsidR="00000000" w:rsidRPr="00000000">
        <w:rPr>
          <w:rtl w:val="0"/>
        </w:rPr>
        <w:t xml:space="preserve">. This layered security strategy ensures that a failure in one area, such as a host configuration, does not lead to a complete system compromise. Our policy specifically focuses on the </w:t>
      </w:r>
      <w:r w:rsidDel="00000000" w:rsidR="00000000" w:rsidRPr="00000000">
        <w:rPr>
          <w:b w:val="1"/>
          <w:bCs w:val="1"/>
          <w:rtl w:val="0"/>
        </w:rPr>
        <w:t xml:space="preserve">Application</w:t>
      </w:r>
      <w:r w:rsidDel="00000000" w:rsidR="00000000" w:rsidRPr="00000000">
        <w:rPr>
          <w:rtl w:val="0"/>
        </w:rPr>
        <w:t xml:space="preserve"> and </w:t>
      </w:r>
      <w:r w:rsidDel="00000000" w:rsidR="00000000" w:rsidRPr="00000000">
        <w:rPr>
          <w:b w:val="1"/>
          <w:bCs w:val="1"/>
          <w:rtl w:val="0"/>
        </w:rPr>
        <w:t xml:space="preserve">Data</w:t>
      </w:r>
      <w:r w:rsidDel="00000000" w:rsidR="00000000" w:rsidRPr="00000000">
        <w:rPr>
          <w:rtl w:val="0"/>
        </w:rPr>
        <w:t xml:space="preserve"> layers, ensuring we enforce security from the moment code is written to how data is ultimately protected.</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SLIDE 3: THREAT LANDSCAPE</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(0:35 - 1:15)</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prioritize vulnerabilities based on impact, likelihood, and cost. Our highest-priority threats are </w:t>
      </w:r>
      <w:r w:rsidDel="00000000" w:rsidR="00000000" w:rsidRPr="00000000">
        <w:rPr>
          <w:b w:val="1"/>
          <w:bCs w:val="1"/>
          <w:rtl w:val="0"/>
        </w:rPr>
        <w:t xml:space="preserve">SQL Injection</w:t>
      </w:r>
      <w:r w:rsidDel="00000000" w:rsidR="00000000" w:rsidRPr="00000000">
        <w:rPr>
          <w:rtl w:val="0"/>
        </w:rPr>
        <w:t xml:space="preserve"> and </w:t>
      </w:r>
      <w:r w:rsidDel="00000000" w:rsidR="00000000" w:rsidRPr="00000000">
        <w:rPr>
          <w:b w:val="1"/>
          <w:bCs w:val="1"/>
          <w:rtl w:val="0"/>
        </w:rPr>
        <w:t xml:space="preserve">Memory Corruption</w:t>
      </w:r>
      <w:r w:rsidDel="00000000" w:rsidR="00000000" w:rsidRPr="00000000">
        <w:rPr>
          <w:rtl w:val="0"/>
        </w:rPr>
        <w:t xml:space="preserve">. SQL Injection is critical because it offers a direct path to our sensitive financial data. We saw the real-world consequences of this vulnerability in the </w:t>
      </w:r>
      <w:r w:rsidDel="00000000" w:rsidR="00000000" w:rsidRPr="00000000">
        <w:rPr>
          <w:b w:val="1"/>
          <w:bCs w:val="1"/>
          <w:rtl w:val="0"/>
        </w:rPr>
        <w:t xml:space="preserve">TalkTalk Data Breach</w:t>
      </w:r>
      <w:r w:rsidDel="00000000" w:rsidR="00000000" w:rsidRPr="00000000">
        <w:rPr>
          <w:rtl w:val="0"/>
        </w:rPr>
        <w:t xml:space="preserve"> of 2015. Attackers exploited a failure in input sanitization, exposing personal and bank details for over 157,000 customers and resulting in a significant penalty and recovery costs.</w:t>
      </w:r>
    </w:p>
    <w:p w:rsidR="00000000" w:rsidDel="00000000" w:rsidP="00000000" w:rsidRDefault="00000000" w:rsidRPr="00000000" w14:paraId="00000028">
      <w:pPr>
        <w:rPr/>
      </w:pPr>
      <w:r w:rsidDel="00000000" w:rsidR="00000000" w:rsidRPr="00000000">
        <w:rPr>
          <w:rtl w:val="0"/>
        </w:rPr>
        <w:t xml:space="preserve">To address these threats, we use an automated detection toolchain. This pipeline integrates Static Analysis, or </w:t>
      </w:r>
      <w:r w:rsidDel="00000000" w:rsidR="00000000" w:rsidRPr="00000000">
        <w:rPr>
          <w:b w:val="1"/>
          <w:bCs w:val="1"/>
          <w:rtl w:val="0"/>
        </w:rPr>
        <w:t xml:space="preserve">SAST</w:t>
      </w:r>
      <w:r w:rsidDel="00000000" w:rsidR="00000000" w:rsidRPr="00000000">
        <w:rPr>
          <w:rtl w:val="0"/>
        </w:rPr>
        <w:t xml:space="preserve"> tools like Coverity and SonarQube, alongside Dynamic Analysis, or </w:t>
      </w:r>
      <w:r w:rsidDel="00000000" w:rsidR="00000000" w:rsidRPr="00000000">
        <w:rPr>
          <w:b w:val="1"/>
          <w:bCs w:val="1"/>
          <w:rtl w:val="0"/>
        </w:rPr>
        <w:t xml:space="preserve">DAST</w:t>
      </w:r>
      <w:r w:rsidDel="00000000" w:rsidR="00000000" w:rsidRPr="00000000">
        <w:rPr>
          <w:rtl w:val="0"/>
        </w:rPr>
        <w:t xml:space="preserve"> tools like OWASP ZAP and Valgrind.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SLIDE 4: CODING</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(1:15 - 1:50)</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have prioritized our 10 C/C++ coding standards based on the risk they mitigate. Our High Severity standards, such as STD-004 SQL Injection and STD-005 Memory Safety, demand immediate and rigorous enforcement.</w:t>
      </w:r>
    </w:p>
    <w:p w:rsidR="00000000" w:rsidDel="00000000" w:rsidP="00000000" w:rsidRDefault="00000000" w:rsidRPr="00000000" w14:paraId="0000002D">
      <w:pPr>
        <w:rPr/>
      </w:pPr>
      <w:r w:rsidDel="00000000" w:rsidR="00000000" w:rsidRPr="00000000">
        <w:rPr>
          <w:rtl w:val="0"/>
        </w:rPr>
        <w:t xml:space="preserve">As a concrete example of this enforcement, the most effective defense against SQL Injection is using </w:t>
      </w:r>
      <w:r w:rsidDel="00000000" w:rsidR="00000000" w:rsidRPr="00000000">
        <w:rPr>
          <w:b w:val="1"/>
          <w:bCs w:val="1"/>
          <w:rtl w:val="0"/>
        </w:rPr>
        <w:t xml:space="preserve">Prepared Statements</w:t>
      </w:r>
      <w:r w:rsidDel="00000000" w:rsidR="00000000" w:rsidRPr="00000000">
        <w:rPr>
          <w:rtl w:val="0"/>
        </w:rPr>
        <w:t xml:space="preserve">. The code snippet on the slide shows how we use MySQL Connector to define the SQL structure first, then bind user input as parameters. This separation ensures the input is treated strictly as data and neutralizes malicious code like ' OR '1'='1.</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SLIDE 5: STANDARDS MAPPING</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(1:50 - 2:20)</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standards align with 10 fundamental security principles, providing a clear justification for why developers must adopt them. For example, the principle of </w:t>
      </w:r>
      <w:r w:rsidDel="00000000" w:rsidR="00000000" w:rsidRPr="00000000">
        <w:rPr>
          <w:b w:val="1"/>
          <w:bCs w:val="1"/>
          <w:rtl w:val="0"/>
        </w:rPr>
        <w:t xml:space="preserve">Validate Input Data</w:t>
      </w:r>
      <w:r w:rsidDel="00000000" w:rsidR="00000000" w:rsidRPr="00000000">
        <w:rPr>
          <w:rtl w:val="0"/>
        </w:rPr>
        <w:t xml:space="preserve"> requires standards like SQL Injection (STD-004) and Path Traversal (STD-009) to ensure all incoming data is checked before processing. Additionally, </w:t>
      </w:r>
      <w:r w:rsidDel="00000000" w:rsidR="00000000" w:rsidRPr="00000000">
        <w:rPr>
          <w:b w:val="1"/>
          <w:bCs w:val="1"/>
          <w:rtl w:val="0"/>
        </w:rPr>
        <w:t xml:space="preserve">Keep It Simple</w:t>
      </w:r>
      <w:r w:rsidDel="00000000" w:rsidR="00000000" w:rsidRPr="00000000">
        <w:rPr>
          <w:rtl w:val="0"/>
        </w:rPr>
        <w:t xml:space="preserve"> (P4) is mandated to reduce complexity, which helps in avoiding hard-to-detect concurrency issues like Data Races (STD-008).</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SLIDE 6: ACCESS CONTROL</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(2:20 - 2:55)</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Our policy employs the foundational </w:t>
      </w:r>
      <w:r w:rsidDel="00000000" w:rsidR="00000000" w:rsidRPr="00000000">
        <w:rPr>
          <w:b w:val="1"/>
          <w:bCs w:val="1"/>
          <w:rtl w:val="0"/>
        </w:rPr>
        <w:t xml:space="preserve">Triple-A Framework</w:t>
      </w:r>
      <w:r w:rsidDel="00000000" w:rsidR="00000000" w:rsidRPr="00000000">
        <w:rPr>
          <w:rtl w:val="0"/>
        </w:rPr>
        <w:t xml:space="preserve"> to manage system access.</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bCs w:val="1"/>
          <w:rtl w:val="0"/>
        </w:rPr>
        <w:t xml:space="preserve">Authentication</w:t>
      </w:r>
      <w:r w:rsidDel="00000000" w:rsidR="00000000" w:rsidRPr="00000000">
        <w:rPr>
          <w:rtl w:val="0"/>
        </w:rPr>
        <w:t xml:space="preserve"> requires MFA for all personnel and uses strong Argon2id hashing for password storage.</w:t>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Authorization</w:t>
      </w:r>
      <w:r w:rsidDel="00000000" w:rsidR="00000000" w:rsidRPr="00000000">
        <w:rPr>
          <w:rtl w:val="0"/>
        </w:rPr>
        <w:t xml:space="preserve"> operates on a default-deny baseline. We explicitly limit access to </w:t>
      </w:r>
      <w:r w:rsidDel="00000000" w:rsidR="00000000" w:rsidRPr="00000000">
        <w:rPr>
          <w:b w:val="1"/>
          <w:bCs w:val="1"/>
          <w:rtl w:val="0"/>
        </w:rPr>
        <w:t xml:space="preserve">PII</w:t>
      </w:r>
      <w:r w:rsidDel="00000000" w:rsidR="00000000" w:rsidRPr="00000000">
        <w:rPr>
          <w:rtl w:val="0"/>
        </w:rPr>
        <w:t xml:space="preserve"> to only the Data Privacy Officer and Legal roles.</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bCs w:val="1"/>
          <w:rtl w:val="0"/>
        </w:rPr>
        <w:t xml:space="preserve">Accounting</w:t>
      </w:r>
      <w:r w:rsidDel="00000000" w:rsidR="00000000" w:rsidRPr="00000000">
        <w:rPr>
          <w:rtl w:val="0"/>
        </w:rPr>
        <w:t xml:space="preserve"> enforces continuous monitoring. We mandate SIEM ingestion within 60 seconds and trigger a </w:t>
      </w:r>
      <w:r w:rsidDel="00000000" w:rsidR="00000000" w:rsidRPr="00000000">
        <w:rPr>
          <w:b w:val="1"/>
          <w:bCs w:val="1"/>
          <w:rtl w:val="0"/>
        </w:rPr>
        <w:t xml:space="preserve">Critical Alert</w:t>
      </w:r>
      <w:r w:rsidDel="00000000" w:rsidR="00000000" w:rsidRPr="00000000">
        <w:rPr>
          <w:rtl w:val="0"/>
        </w:rPr>
        <w:t xml:space="preserve"> if the SIEM heartbeat fails for more than 60 seconds.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SLIDE 7: CRYPTOGRAPHY</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(2:55 - 3:30)</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Our encryption strategy ensures data is protected in all three states.</w:t>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At Rest</w:t>
      </w:r>
      <w:r w:rsidDel="00000000" w:rsidR="00000000" w:rsidRPr="00000000">
        <w:rPr>
          <w:rtl w:val="0"/>
        </w:rPr>
        <w:t xml:space="preserve"> protection uses AES-256-GCM encryption with dedicated key management services.</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In-flight</w:t>
      </w:r>
      <w:r w:rsidDel="00000000" w:rsidR="00000000" w:rsidRPr="00000000">
        <w:rPr>
          <w:rtl w:val="0"/>
        </w:rPr>
        <w:t xml:space="preserve"> protection mandates TLS 1.2+ and mutual TLS for all internal microservices.</w:t>
      </w:r>
    </w:p>
    <w:p w:rsidR="00000000" w:rsidDel="00000000" w:rsidP="00000000" w:rsidRDefault="00000000" w:rsidRPr="00000000" w14:paraId="0000003F">
      <w:pPr>
        <w:rPr/>
      </w:pPr>
      <w:r w:rsidDel="00000000" w:rsidR="00000000" w:rsidRPr="00000000">
        <w:rPr>
          <w:rtl w:val="0"/>
        </w:rPr>
        <w:t xml:space="preserve">• The most sophisticated layer is </w:t>
      </w:r>
      <w:r w:rsidDel="00000000" w:rsidR="00000000" w:rsidRPr="00000000">
        <w:rPr>
          <w:b w:val="1"/>
          <w:bCs w:val="1"/>
          <w:rtl w:val="0"/>
        </w:rPr>
        <w:t xml:space="preserve">Encryption in Use</w:t>
      </w:r>
      <w:r w:rsidDel="00000000" w:rsidR="00000000" w:rsidRPr="00000000">
        <w:rPr>
          <w:rtl w:val="0"/>
        </w:rPr>
        <w:t xml:space="preserve">. This uses Hardware-based Trusted Execution Environments, or TEEs, which provide isolation. This ensures that even if an attacker gains root-level access, they cannot scrape sensitive data from the protected process memory.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SLIDE 8: TESTING &amp; AUTOMATION</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(3:30 - 4:10)</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Security automation is integrated across our DevSecOps pipeline. SAST tools run during the Build/Compilation stage to analyze raw code for logical flaws, while DAST tools simulate attacks at the Test &amp; Scan stage.</w:t>
      </w:r>
    </w:p>
    <w:p w:rsidR="00000000" w:rsidDel="00000000" w:rsidP="00000000" w:rsidRDefault="00000000" w:rsidRPr="00000000" w14:paraId="00000044">
      <w:pPr>
        <w:rPr/>
      </w:pPr>
      <w:r w:rsidDel="00000000" w:rsidR="00000000" w:rsidRPr="00000000">
        <w:rPr>
          <w:rtl w:val="0"/>
        </w:rPr>
        <w:t xml:space="preserve">We enforce the policy with rigorous unit testing for all critical standards. The slide shows three key tests: one for rejecting an SQL Injection payload, one for verifying Memory Safety after deallocation, and a third, insightful test to check for Integer Overflow at boundary conditions, specifically preventing the UINT_MAX + 1 error</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SLIDE 10: RECOMMENDATIONS</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(4:35 - 5:00)</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Moving forward, our goal is to shift from detecting bad code to ensuring secure defaults. Our gap analysis shows we must address existing supply chain risks a lesson learned from the Equifax breach involving a known vulnerable dependency and the SolarWinds attack, which highlighted the need for build-stage integrity checks. Our path forward includes implementing a Zero Trust Architecture and migrating legacy C/C++ to memory-safe languages for all new microservices.</w:t>
      </w:r>
    </w:p>
    <w:p w:rsidR="00000000" w:rsidDel="00000000" w:rsidP="00000000" w:rsidRDefault="00000000" w:rsidRPr="00000000" w14:paraId="00000049">
      <w:pPr>
        <w:rPr>
          <w:i w:val="1"/>
          <w:iCs w:val="1"/>
        </w:rPr>
      </w:pPr>
      <w:r w:rsidDel="00000000" w:rsidR="00000000" w:rsidRPr="00000000">
        <w:rPr>
          <w:rtl w:val="0"/>
        </w:rPr>
        <w:t xml:space="preserve">Thank you.</w:t>
      </w:r>
      <w:r w:rsidDel="00000000" w:rsidR="00000000" w:rsidRPr="00000000">
        <w:rPr>
          <w:rtl w:val="0"/>
        </w:rPr>
      </w:r>
    </w:p>
    <w:p w:rsidR="00000000" w:rsidDel="00000000" w:rsidP="00000000" w:rsidRDefault="00000000" w:rsidRPr="00000000" w14:paraId="0000004A">
      <w:pPr>
        <w:pStyle w:val="Heading1"/>
        <w:pageBreakBefore w:val="0"/>
        <w:pBdr>
          <w:top w:space="0" w:sz="0" w:val="nil"/>
          <w:left w:space="0" w:sz="0" w:val="nil"/>
          <w:bottom w:space="0" w:sz="0" w:val="nil"/>
          <w:right w:space="0" w:sz="0" w:val="nil"/>
          <w:between w:space="0" w:sz="0" w:val="nil"/>
        </w:pBdr>
        <w:shd w:fill="auto" w:val="clear"/>
        <w:spacing w:before="1080" w:lineRule="auto"/>
        <w:jc w:val="center"/>
        <w:rPr>
          <w:b w:val="0"/>
          <w:bCs w:val="0"/>
          <w:i w:val="1"/>
          <w:iCs w:val="1"/>
        </w:rPr>
      </w:pPr>
      <w:bookmarkStart w:colFirst="0" w:colLast="0" w:name="_1t3h5sf" w:id="5"/>
      <w:bookmarkEnd w:id="5"/>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eIYhXsx7DSY"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