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b/>
          <w:sz w:val="20"/>
          <w:szCs w:val="20"/>
        </w:rPr>
      </w:pPr>
      <w:r>
        <w:rPr>
          <w:b/>
          <w:sz w:val="20"/>
          <w:szCs w:val="20"/>
        </w:rPr>
        <w:t>Green Pace Developer: Security Policy Guide Template</w:t>
      </w:r>
    </w:p>
    <w:p>
      <w:pPr>
        <w:pStyle w:val="Normal"/>
        <w:spacing w:before="0" w:after="4600"/>
        <w:rPr>
          <w:sz w:val="20"/>
          <w:szCs w:val="20"/>
        </w:rPr>
      </w:pPr>
      <w:r>
        <w:rPr>
          <w:sz w:val="20"/>
          <w:szCs w:val="20"/>
        </w:rPr>
      </w:r>
    </w:p>
    <w:p>
      <w:pPr>
        <w:pStyle w:val="Title"/>
        <w:rPr>
          <w:rFonts w:ascii="Calibri" w:hAnsi="Calibri" w:eastAsia="Calibri" w:cs="Calibri"/>
        </w:rPr>
      </w:pPr>
      <w:r>
        <w:rPr/>
        <w:drawing>
          <wp:inline distT="0" distB="0" distL="0" distR="0">
            <wp:extent cx="1922145" cy="2493010"/>
            <wp:effectExtent l="0" t="0" r="0" b="0"/>
            <wp:docPr id="1" name="image1.png"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Green Pace logo"/>
                    <pic:cNvPicPr>
                      <a:picLocks noChangeAspect="1" noChangeArrowheads="1"/>
                    </pic:cNvPicPr>
                  </pic:nvPicPr>
                  <pic:blipFill>
                    <a:blip r:embed="rId2"/>
                    <a:stretch>
                      <a:fillRect/>
                    </a:stretch>
                  </pic:blipFill>
                  <pic:spPr bwMode="auto">
                    <a:xfrm>
                      <a:off x="0" y="0"/>
                      <a:ext cx="1922145" cy="2493010"/>
                    </a:xfrm>
                    <a:prstGeom prst="rect">
                      <a:avLst/>
                    </a:prstGeom>
                    <a:noFill/>
                  </pic:spPr>
                </pic:pic>
              </a:graphicData>
            </a:graphic>
          </wp:inline>
        </w:drawing>
      </w:r>
    </w:p>
    <w:p>
      <w:pPr>
        <w:pStyle w:val="Heading1"/>
        <w:rPr/>
      </w:pPr>
      <w:r>
        <w:rPr/>
        <w:t>Green Pace Secure Development Policy</w:t>
      </w:r>
      <w:r>
        <w:br w:type="page"/>
      </w:r>
    </w:p>
    <w:p>
      <w:pPr>
        <w:pStyle w:val="Heading2"/>
        <w:spacing w:before="0" w:after="0"/>
        <w:contextualSpacing/>
        <w:rPr>
          <w:b w:val="false"/>
          <w:sz w:val="32"/>
          <w:szCs w:val="32"/>
        </w:rPr>
      </w:pPr>
      <w:r>
        <w:rPr>
          <w:b w:val="false"/>
          <w:sz w:val="32"/>
          <w:szCs w:val="32"/>
        </w:rPr>
        <w:t>Contents</w:t>
      </w:r>
    </w:p>
    <w:sdt>
      <w:sdtPr>
        <w:docPartObj>
          <w:docPartGallery w:val="Table of Contents"/>
          <w:docPartUnique w:val="true"/>
        </w:docPartObj>
      </w:sdtPr>
      <w:sdtContent>
        <w:p>
          <w:pPr>
            <w:pStyle w:val="TOC1"/>
            <w:tabs>
              <w:tab w:val="clear" w:pos="720"/>
              <w:tab w:val="right" w:pos="10790" w:leader="none"/>
            </w:tabs>
            <w:rPr>
              <w:rFonts w:ascii="Cambria" w:hAnsi="Cambria" w:eastAsia="" w:cs="" w:asciiTheme="minorHAnsi" w:cstheme="minorBidi" w:eastAsiaTheme="minorEastAsia" w:hAnsiTheme="minorHAnsi"/>
              <w:sz w:val="22"/>
              <w:szCs w:val="22"/>
            </w:rPr>
          </w:pPr>
          <w:r>
            <w:fldChar w:fldCharType="begin"/>
          </w:r>
          <w:r>
            <w:rPr>
              <w:rStyle w:val="IndexLink"/>
              <w:webHidden/>
            </w:rPr>
            <w:instrText xml:space="preserve"> TOC \z \o "1-9" \u \h</w:instrText>
          </w:r>
          <w:r>
            <w:rPr>
              <w:rStyle w:val="IndexLink"/>
              <w:webHidden/>
            </w:rPr>
            <w:fldChar w:fldCharType="separate"/>
          </w:r>
          <w:hyperlink w:anchor="_Toc52464053">
            <w:r>
              <w:rPr>
                <w:rStyle w:val="IndexLink"/>
                <w:webHidden/>
              </w:rPr>
              <w:t>Overview</w:t>
            </w:r>
            <w:r>
              <w:rPr>
                <w:rStyle w:val="IndexLink"/>
                <w:vanish w:val="false"/>
              </w:rPr>
              <w:tab/>
            </w:r>
            <w:r>
              <w:rPr>
                <w:webHidden/>
              </w:rPr>
              <w:fldChar w:fldCharType="begin"/>
            </w:r>
            <w:r>
              <w:rPr>
                <w:webHidden/>
              </w:rPr>
              <w:instrText xml:space="preserve">PAGEREF _Toc52464053 \h</w:instrText>
            </w:r>
            <w:r>
              <w:rPr>
                <w:webHidden/>
              </w:rPr>
              <w:fldChar w:fldCharType="separate"/>
            </w:r>
            <w:r>
              <w:rPr>
                <w:rStyle w:val="IndexLink"/>
                <w:rFonts w:eastAsia="" w:cs="" w:ascii="Cambria" w:hAnsi="Cambria" w:asciiTheme="minorHAnsi" w:cstheme="minorBidi" w:eastAsiaTheme="minorEastAsia" w:hAnsiTheme="minorHAnsi"/>
                <w:sz w:val="22"/>
                <w:szCs w:val="22"/>
              </w:rPr>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4">
            <w:r>
              <w:rPr>
                <w:rStyle w:val="IndexLink"/>
                <w:webHidden/>
              </w:rPr>
              <w:t>Purpose</w:t>
            </w:r>
            <w:r>
              <w:rPr>
                <w:rStyle w:val="IndexLink"/>
                <w:vanish w:val="false"/>
              </w:rPr>
              <w:tab/>
            </w:r>
            <w:r>
              <w:rPr>
                <w:webHidden/>
              </w:rPr>
              <w:fldChar w:fldCharType="begin"/>
            </w:r>
            <w:r>
              <w:rPr>
                <w:webHidden/>
              </w:rPr>
              <w:instrText xml:space="preserve">PAGEREF _Toc52464054 \h</w:instrText>
            </w:r>
            <w:r>
              <w:rPr>
                <w:webHidden/>
              </w:rPr>
              <w:fldChar w:fldCharType="separate"/>
            </w:r>
            <w:r>
              <w:rPr>
                <w:rStyle w:val="IndexLink"/>
                <w:rFonts w:eastAsia="" w:cs="" w:ascii="Cambria" w:hAnsi="Cambria" w:asciiTheme="minorHAnsi" w:cstheme="minorBidi" w:eastAsiaTheme="minorEastAsia" w:hAnsiTheme="minorHAnsi"/>
                <w:sz w:val="22"/>
                <w:szCs w:val="22"/>
              </w:rPr>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5">
            <w:r>
              <w:rPr>
                <w:rStyle w:val="IndexLink"/>
                <w:webHidden/>
              </w:rPr>
              <w:t>Scope</w:t>
            </w:r>
            <w:r>
              <w:rPr>
                <w:rStyle w:val="IndexLink"/>
                <w:vanish w:val="false"/>
              </w:rPr>
              <w:tab/>
            </w:r>
            <w:r>
              <w:rPr>
                <w:webHidden/>
              </w:rPr>
              <w:fldChar w:fldCharType="begin"/>
            </w:r>
            <w:r>
              <w:rPr>
                <w:webHidden/>
              </w:rPr>
              <w:instrText xml:space="preserve">PAGEREF _Toc52464055 \h</w:instrText>
            </w:r>
            <w:r>
              <w:rPr>
                <w:webHidden/>
              </w:rPr>
              <w:fldChar w:fldCharType="separate"/>
            </w:r>
            <w:r>
              <w:rPr>
                <w:rStyle w:val="IndexLink"/>
                <w:rFonts w:eastAsia="" w:cs="" w:ascii="Cambria" w:hAnsi="Cambria" w:asciiTheme="minorHAnsi" w:cstheme="minorBidi" w:eastAsiaTheme="minorEastAsia" w:hAnsiTheme="minorHAnsi"/>
                <w:sz w:val="22"/>
                <w:szCs w:val="22"/>
              </w:rPr>
              <w:t>2</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6">
            <w:r>
              <w:rPr>
                <w:rStyle w:val="IndexLink"/>
                <w:webHidden/>
              </w:rPr>
              <w:t>Module Three Milestone</w:t>
            </w:r>
            <w:r>
              <w:rPr>
                <w:rStyle w:val="IndexLink"/>
                <w:vanish w:val="false"/>
              </w:rPr>
              <w:tab/>
            </w:r>
            <w:r>
              <w:rPr>
                <w:webHidden/>
              </w:rPr>
              <w:fldChar w:fldCharType="begin"/>
            </w:r>
            <w:r>
              <w:rPr>
                <w:webHidden/>
              </w:rPr>
              <w:instrText xml:space="preserve">PAGEREF _Toc52464056 \h</w:instrText>
            </w:r>
            <w:r>
              <w:rPr>
                <w:webHidden/>
              </w:rPr>
              <w:fldChar w:fldCharType="separate"/>
            </w:r>
            <w:r>
              <w:rPr>
                <w:rStyle w:val="IndexLink"/>
                <w:rFonts w:eastAsia="" w:cs="" w:ascii="Cambria" w:hAnsi="Cambria" w:asciiTheme="minorHAnsi" w:cstheme="minorBidi" w:eastAsiaTheme="minorEastAsia" w:hAnsiTheme="minorHAnsi"/>
                <w:sz w:val="22"/>
                <w:szCs w:val="22"/>
              </w:rPr>
              <w:t>2</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7">
            <w:r>
              <w:rPr>
                <w:rStyle w:val="IndexLink"/>
                <w:webHidden/>
              </w:rPr>
              <w:t>Ten Core Security Principles</w:t>
            </w:r>
            <w:r>
              <w:rPr>
                <w:rStyle w:val="IndexLink"/>
                <w:vanish w:val="false"/>
              </w:rPr>
              <w:tab/>
            </w:r>
            <w:r>
              <w:rPr>
                <w:webHidden/>
              </w:rPr>
              <w:fldChar w:fldCharType="begin"/>
            </w:r>
            <w:r>
              <w:rPr>
                <w:webHidden/>
              </w:rPr>
              <w:instrText xml:space="preserve">PAGEREF _Toc52464057 \h</w:instrText>
            </w:r>
            <w:r>
              <w:rPr>
                <w:webHidden/>
              </w:rPr>
              <w:fldChar w:fldCharType="separate"/>
            </w:r>
            <w:r>
              <w:rPr>
                <w:rStyle w:val="IndexLink"/>
                <w:rFonts w:eastAsia="" w:cs="" w:ascii="Cambria" w:hAnsi="Cambria" w:asciiTheme="minorHAnsi" w:cstheme="minorBidi" w:eastAsiaTheme="minorEastAsia" w:hAnsiTheme="minorHAnsi"/>
                <w:sz w:val="22"/>
                <w:szCs w:val="22"/>
              </w:rPr>
              <w:t>2</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58">
            <w:r>
              <w:rPr>
                <w:rStyle w:val="IndexLink"/>
                <w:webHidden/>
              </w:rPr>
              <w:t>C/C++ Ten Coding Standards</w:t>
            </w:r>
            <w:r>
              <w:rPr>
                <w:rStyle w:val="IndexLink"/>
                <w:vanish w:val="false"/>
              </w:rPr>
              <w:tab/>
            </w:r>
            <w:r>
              <w:rPr>
                <w:webHidden/>
              </w:rPr>
              <w:fldChar w:fldCharType="begin"/>
            </w:r>
            <w:r>
              <w:rPr>
                <w:webHidden/>
              </w:rPr>
              <w:instrText xml:space="preserve">PAGEREF _Toc52464058 \h</w:instrText>
            </w:r>
            <w:r>
              <w:rPr>
                <w:webHidden/>
              </w:rPr>
              <w:fldChar w:fldCharType="separate"/>
            </w:r>
            <w:r>
              <w:rPr>
                <w:rStyle w:val="IndexLink"/>
                <w:rFonts w:eastAsia="" w:cs="" w:ascii="Cambria" w:hAnsi="Cambria" w:asciiTheme="minorHAnsi" w:cstheme="minorBidi" w:eastAsiaTheme="minorEastAsia" w:hAnsiTheme="minorHAnsi"/>
                <w:sz w:val="22"/>
                <w:szCs w:val="22"/>
              </w:rPr>
              <w:t>3</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59">
            <w:r>
              <w:rPr>
                <w:rStyle w:val="IndexLink"/>
                <w:webHidden/>
              </w:rPr>
              <w:t>Coding Standard 1</w:t>
            </w:r>
            <w:r>
              <w:rPr>
                <w:rStyle w:val="IndexLink"/>
                <w:vanish w:val="false"/>
              </w:rPr>
              <w:tab/>
            </w:r>
            <w:r>
              <w:rPr>
                <w:webHidden/>
              </w:rPr>
              <w:fldChar w:fldCharType="begin"/>
            </w:r>
            <w:r>
              <w:rPr>
                <w:webHidden/>
              </w:rPr>
              <w:instrText xml:space="preserve">PAGEREF _Toc52464059 \h</w:instrText>
            </w:r>
            <w:r>
              <w:rPr>
                <w:webHidden/>
              </w:rPr>
              <w:fldChar w:fldCharType="separate"/>
            </w:r>
            <w:r>
              <w:rPr>
                <w:rStyle w:val="IndexLink"/>
                <w:rFonts w:eastAsia="" w:cs="" w:ascii="Cambria" w:hAnsi="Cambria" w:asciiTheme="minorHAnsi" w:cstheme="minorBidi" w:eastAsiaTheme="minorEastAsia" w:hAnsiTheme="minorHAnsi"/>
                <w:sz w:val="22"/>
                <w:szCs w:val="22"/>
              </w:rPr>
              <w:t>4</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0">
            <w:r>
              <w:rPr>
                <w:rStyle w:val="IndexLink"/>
                <w:webHidden/>
              </w:rPr>
              <w:t>Coding Standard 2</w:t>
            </w:r>
            <w:r>
              <w:rPr>
                <w:rStyle w:val="IndexLink"/>
                <w:vanish w:val="false"/>
              </w:rPr>
              <w:tab/>
            </w:r>
            <w:r>
              <w:rPr>
                <w:webHidden/>
              </w:rPr>
              <w:fldChar w:fldCharType="begin"/>
            </w:r>
            <w:r>
              <w:rPr>
                <w:webHidden/>
              </w:rPr>
              <w:instrText xml:space="preserve">PAGEREF _Toc52464060 \h</w:instrText>
            </w:r>
            <w:r>
              <w:rPr>
                <w:webHidden/>
              </w:rPr>
              <w:fldChar w:fldCharType="separate"/>
            </w:r>
            <w:r>
              <w:rPr>
                <w:rStyle w:val="IndexLink"/>
                <w:rFonts w:eastAsia="" w:cs="" w:ascii="Cambria" w:hAnsi="Cambria" w:asciiTheme="minorHAnsi" w:cstheme="minorBidi" w:eastAsiaTheme="minorEastAsia" w:hAnsiTheme="minorHAnsi"/>
                <w:sz w:val="22"/>
                <w:szCs w:val="22"/>
              </w:rPr>
              <w:t>5</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1">
            <w:r>
              <w:rPr>
                <w:rStyle w:val="IndexLink"/>
                <w:webHidden/>
              </w:rPr>
              <w:t>Coding Standard 3</w:t>
            </w:r>
            <w:r>
              <w:rPr>
                <w:rStyle w:val="IndexLink"/>
                <w:vanish w:val="false"/>
              </w:rPr>
              <w:tab/>
            </w:r>
            <w:r>
              <w:rPr>
                <w:webHidden/>
              </w:rPr>
              <w:fldChar w:fldCharType="begin"/>
            </w:r>
            <w:r>
              <w:rPr>
                <w:webHidden/>
              </w:rPr>
              <w:instrText xml:space="preserve">PAGEREF _Toc52464061 \h</w:instrText>
            </w:r>
            <w:r>
              <w:rPr>
                <w:webHidden/>
              </w:rPr>
              <w:fldChar w:fldCharType="separate"/>
            </w:r>
            <w:r>
              <w:rPr>
                <w:rStyle w:val="IndexLink"/>
                <w:rFonts w:eastAsia="" w:cs="" w:ascii="Cambria" w:hAnsi="Cambria" w:asciiTheme="minorHAnsi" w:cstheme="minorBidi" w:eastAsiaTheme="minorEastAsia" w:hAnsiTheme="minorHAnsi"/>
                <w:sz w:val="22"/>
                <w:szCs w:val="22"/>
              </w:rPr>
              <w:t>6</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2">
            <w:r>
              <w:rPr>
                <w:rStyle w:val="IndexLink"/>
                <w:webHidden/>
              </w:rPr>
              <w:t>Coding Standard 4</w:t>
            </w:r>
            <w:r>
              <w:rPr>
                <w:rStyle w:val="IndexLink"/>
                <w:vanish w:val="false"/>
              </w:rPr>
              <w:tab/>
            </w:r>
            <w:r>
              <w:rPr>
                <w:webHidden/>
              </w:rPr>
              <w:fldChar w:fldCharType="begin"/>
            </w:r>
            <w:r>
              <w:rPr>
                <w:webHidden/>
              </w:rPr>
              <w:instrText xml:space="preserve">PAGEREF _Toc52464062 \h</w:instrText>
            </w:r>
            <w:r>
              <w:rPr>
                <w:webHidden/>
              </w:rPr>
              <w:fldChar w:fldCharType="separate"/>
            </w:r>
            <w:r>
              <w:rPr>
                <w:rStyle w:val="IndexLink"/>
                <w:rFonts w:eastAsia="" w:cs="" w:ascii="Cambria" w:hAnsi="Cambria" w:asciiTheme="minorHAnsi" w:cstheme="minorBidi" w:eastAsiaTheme="minorEastAsia" w:hAnsiTheme="minorHAnsi"/>
                <w:sz w:val="22"/>
                <w:szCs w:val="22"/>
              </w:rPr>
              <w:t>7</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3">
            <w:r>
              <w:rPr>
                <w:rStyle w:val="IndexLink"/>
                <w:webHidden/>
              </w:rPr>
              <w:t>Coding Standard 5</w:t>
            </w:r>
            <w:r>
              <w:rPr>
                <w:rStyle w:val="IndexLink"/>
                <w:vanish w:val="false"/>
              </w:rPr>
              <w:tab/>
            </w:r>
            <w:r>
              <w:rPr>
                <w:webHidden/>
              </w:rPr>
              <w:fldChar w:fldCharType="begin"/>
            </w:r>
            <w:r>
              <w:rPr>
                <w:webHidden/>
              </w:rPr>
              <w:instrText xml:space="preserve">PAGEREF _Toc52464063 \h</w:instrText>
            </w:r>
            <w:r>
              <w:rPr>
                <w:webHidden/>
              </w:rPr>
              <w:fldChar w:fldCharType="separate"/>
            </w:r>
            <w:r>
              <w:rPr>
                <w:rStyle w:val="IndexLink"/>
                <w:rFonts w:eastAsia="" w:cs="" w:ascii="Cambria" w:hAnsi="Cambria" w:asciiTheme="minorHAnsi" w:cstheme="minorBidi" w:eastAsiaTheme="minorEastAsia" w:hAnsiTheme="minorHAnsi"/>
                <w:sz w:val="22"/>
                <w:szCs w:val="22"/>
              </w:rPr>
              <w:t>8</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4">
            <w:r>
              <w:rPr>
                <w:rStyle w:val="IndexLink"/>
                <w:webHidden/>
              </w:rPr>
              <w:t>Coding Standard 6</w:t>
            </w:r>
            <w:r>
              <w:rPr>
                <w:rStyle w:val="IndexLink"/>
                <w:vanish w:val="false"/>
              </w:rPr>
              <w:tab/>
            </w:r>
            <w:r>
              <w:rPr>
                <w:webHidden/>
              </w:rPr>
              <w:fldChar w:fldCharType="begin"/>
            </w:r>
            <w:r>
              <w:rPr>
                <w:webHidden/>
              </w:rPr>
              <w:instrText xml:space="preserve">PAGEREF _Toc52464064 \h</w:instrText>
            </w:r>
            <w:r>
              <w:rPr>
                <w:webHidden/>
              </w:rPr>
              <w:fldChar w:fldCharType="separate"/>
            </w:r>
            <w:r>
              <w:rPr>
                <w:rStyle w:val="IndexLink"/>
                <w:rFonts w:eastAsia="" w:cs="" w:ascii="Cambria" w:hAnsi="Cambria" w:asciiTheme="minorHAnsi" w:cstheme="minorBidi" w:eastAsiaTheme="minorEastAsia" w:hAnsiTheme="minorHAnsi"/>
                <w:sz w:val="22"/>
                <w:szCs w:val="22"/>
              </w:rPr>
              <w:t>9</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5">
            <w:r>
              <w:rPr>
                <w:rStyle w:val="IndexLink"/>
                <w:webHidden/>
              </w:rPr>
              <w:t>Coding Standard 7</w:t>
            </w:r>
            <w:r>
              <w:rPr>
                <w:rStyle w:val="IndexLink"/>
                <w:vanish w:val="false"/>
              </w:rPr>
              <w:tab/>
            </w:r>
            <w:r>
              <w:rPr>
                <w:webHidden/>
              </w:rPr>
              <w:fldChar w:fldCharType="begin"/>
            </w:r>
            <w:r>
              <w:rPr>
                <w:webHidden/>
              </w:rPr>
              <w:instrText xml:space="preserve">PAGEREF _Toc52464065 \h</w:instrText>
            </w:r>
            <w:r>
              <w:rPr>
                <w:webHidden/>
              </w:rPr>
              <w:fldChar w:fldCharType="separate"/>
            </w:r>
            <w:r>
              <w:rPr>
                <w:rStyle w:val="IndexLink"/>
                <w:rFonts w:eastAsia="" w:cs="" w:ascii="Cambria" w:hAnsi="Cambria" w:asciiTheme="minorHAnsi" w:cstheme="minorBidi" w:eastAsiaTheme="minorEastAsia" w:hAnsiTheme="minorHAnsi"/>
                <w:sz w:val="22"/>
                <w:szCs w:val="22"/>
              </w:rPr>
              <w:t>10</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6">
            <w:r>
              <w:rPr>
                <w:rStyle w:val="IndexLink"/>
                <w:webHidden/>
              </w:rPr>
              <w:t>Coding Standard 8</w:t>
            </w:r>
            <w:r>
              <w:rPr>
                <w:rStyle w:val="IndexLink"/>
                <w:vanish w:val="false"/>
              </w:rPr>
              <w:tab/>
            </w:r>
            <w:r>
              <w:rPr>
                <w:webHidden/>
              </w:rPr>
              <w:fldChar w:fldCharType="begin"/>
            </w:r>
            <w:r>
              <w:rPr>
                <w:webHidden/>
              </w:rPr>
              <w:instrText xml:space="preserve">PAGEREF _Toc52464066 \h</w:instrText>
            </w:r>
            <w:r>
              <w:rPr>
                <w:webHidden/>
              </w:rPr>
              <w:fldChar w:fldCharType="separate"/>
            </w:r>
            <w:r>
              <w:rPr>
                <w:rStyle w:val="IndexLink"/>
                <w:rFonts w:eastAsia="" w:cs="" w:ascii="Cambria" w:hAnsi="Cambria" w:asciiTheme="minorHAnsi" w:cstheme="minorBidi" w:eastAsiaTheme="minorEastAsia" w:hAnsiTheme="minorHAnsi"/>
                <w:sz w:val="22"/>
                <w:szCs w:val="22"/>
              </w:rPr>
              <w:t>11</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7">
            <w:r>
              <w:rPr>
                <w:rStyle w:val="IndexLink"/>
                <w:webHidden/>
              </w:rPr>
              <w:t>Coding Standard 9</w:t>
            </w:r>
            <w:r>
              <w:rPr>
                <w:rStyle w:val="IndexLink"/>
                <w:vanish w:val="false"/>
              </w:rPr>
              <w:tab/>
            </w:r>
            <w:r>
              <w:rPr>
                <w:webHidden/>
              </w:rPr>
              <w:fldChar w:fldCharType="begin"/>
            </w:r>
            <w:r>
              <w:rPr>
                <w:webHidden/>
              </w:rPr>
              <w:instrText xml:space="preserve">PAGEREF _Toc52464067 \h</w:instrText>
            </w:r>
            <w:r>
              <w:rPr>
                <w:webHidden/>
              </w:rPr>
              <w:fldChar w:fldCharType="separate"/>
            </w:r>
            <w:r>
              <w:rPr>
                <w:rStyle w:val="IndexLink"/>
                <w:rFonts w:eastAsia="" w:cs="" w:ascii="Cambria" w:hAnsi="Cambria" w:asciiTheme="minorHAnsi" w:cstheme="minorBidi" w:eastAsiaTheme="minorEastAsia" w:hAnsiTheme="minorHAnsi"/>
                <w:sz w:val="22"/>
                <w:szCs w:val="22"/>
              </w:rPr>
              <w:t>13</w:t>
            </w:r>
            <w:r>
              <w:rPr>
                <w:webHidden/>
              </w:rPr>
              <w:fldChar w:fldCharType="end"/>
            </w:r>
          </w:hyperlink>
        </w:p>
        <w:p>
          <w:pPr>
            <w:pStyle w:val="TOC3"/>
            <w:rPr>
              <w:rFonts w:ascii="Cambria" w:hAnsi="Cambria" w:eastAsia="" w:cs="" w:asciiTheme="minorHAnsi" w:cstheme="minorBidi" w:eastAsiaTheme="minorEastAsia" w:hAnsiTheme="minorHAnsi"/>
              <w:sz w:val="22"/>
              <w:szCs w:val="22"/>
            </w:rPr>
          </w:pPr>
          <w:hyperlink w:anchor="_Toc52464068">
            <w:r>
              <w:rPr>
                <w:rStyle w:val="IndexLink"/>
                <w:webHidden/>
              </w:rPr>
              <w:t>Coding Standard 10</w:t>
            </w:r>
            <w:r>
              <w:rPr>
                <w:rStyle w:val="IndexLink"/>
                <w:vanish w:val="false"/>
              </w:rPr>
              <w:tab/>
            </w:r>
            <w:r>
              <w:rPr>
                <w:webHidden/>
              </w:rPr>
              <w:fldChar w:fldCharType="begin"/>
            </w:r>
            <w:r>
              <w:rPr>
                <w:webHidden/>
              </w:rPr>
              <w:instrText xml:space="preserve">PAGEREF _Toc52464068 \h</w:instrText>
            </w:r>
            <w:r>
              <w:rPr>
                <w:webHidden/>
              </w:rPr>
              <w:fldChar w:fldCharType="separate"/>
            </w:r>
            <w:r>
              <w:rPr>
                <w:rStyle w:val="IndexLink"/>
                <w:rFonts w:eastAsia="" w:cs="" w:ascii="Cambria" w:hAnsi="Cambria" w:asciiTheme="minorHAnsi" w:cstheme="minorBidi" w:eastAsiaTheme="minorEastAsia" w:hAnsiTheme="minorHAnsi"/>
                <w:sz w:val="22"/>
                <w:szCs w:val="22"/>
              </w:rPr>
              <w:t>14</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69">
            <w:r>
              <w:rPr>
                <w:rStyle w:val="IndexLink"/>
                <w:webHidden/>
              </w:rPr>
              <w:t>Defense-in-Depth Illustration</w:t>
            </w:r>
            <w:r>
              <w:rPr>
                <w:rStyle w:val="IndexLink"/>
                <w:vanish w:val="false"/>
              </w:rPr>
              <w:tab/>
            </w:r>
            <w:r>
              <w:rPr>
                <w:webHidden/>
              </w:rPr>
              <w:fldChar w:fldCharType="begin"/>
            </w:r>
            <w:r>
              <w:rPr>
                <w:webHidden/>
              </w:rPr>
              <w:instrText xml:space="preserve">PAGEREF _Toc52464069 \h</w:instrText>
            </w:r>
            <w:r>
              <w:rPr>
                <w:webHidden/>
              </w:rPr>
              <w:fldChar w:fldCharType="separate"/>
            </w:r>
            <w:r>
              <w:rPr>
                <w:rStyle w:val="IndexLink"/>
                <w:rFonts w:eastAsia="" w:cs="" w:ascii="Cambria" w:hAnsi="Cambria" w:asciiTheme="minorHAnsi" w:cstheme="minorBidi" w:eastAsiaTheme="minorEastAsia" w:hAnsiTheme="minorHAnsi"/>
                <w:sz w:val="22"/>
                <w:szCs w:val="22"/>
              </w:rPr>
              <w:t>15</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0">
            <w:r>
              <w:rPr>
                <w:rStyle w:val="IndexLink"/>
                <w:webHidden/>
              </w:rPr>
              <w:t>Project One</w:t>
            </w:r>
            <w:r>
              <w:rPr>
                <w:rStyle w:val="IndexLink"/>
                <w:vanish w:val="false"/>
              </w:rPr>
              <w:tab/>
            </w:r>
            <w:r>
              <w:rPr>
                <w:webHidden/>
              </w:rPr>
              <w:fldChar w:fldCharType="begin"/>
            </w:r>
            <w:r>
              <w:rPr>
                <w:webHidden/>
              </w:rPr>
              <w:instrText xml:space="preserve">PAGEREF _Toc52464070 \h</w:instrText>
            </w:r>
            <w:r>
              <w:rPr>
                <w:webHidden/>
              </w:rPr>
              <w:fldChar w:fldCharType="separate"/>
            </w:r>
            <w:r>
              <w:rPr>
                <w:rStyle w:val="IndexLink"/>
                <w:rFonts w:eastAsia="" w:cs="" w:ascii="Cambria" w:hAnsi="Cambria" w:asciiTheme="minorHAnsi" w:cstheme="minorBidi" w:eastAsiaTheme="minorEastAsia" w:hAnsiTheme="minorHAnsi"/>
                <w:sz w:val="22"/>
                <w:szCs w:val="22"/>
              </w:rPr>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1">
            <w:r>
              <w:rPr>
                <w:rStyle w:val="IndexLink"/>
                <w:webHidden/>
              </w:rPr>
              <w:t>1.</w:t>
            </w:r>
            <w:r>
              <w:rPr>
                <w:rStyle w:val="IndexLink"/>
                <w:rFonts w:eastAsia="" w:cs="" w:ascii="Cambria" w:hAnsi="Cambria" w:asciiTheme="minorHAnsi" w:cstheme="minorBidi" w:eastAsiaTheme="minorEastAsia" w:hAnsiTheme="minorHAnsi"/>
                <w:sz w:val="22"/>
                <w:szCs w:val="22"/>
              </w:rPr>
              <w:tab/>
            </w:r>
            <w:r>
              <w:rPr>
                <w:rStyle w:val="IndexLink"/>
              </w:rPr>
              <w:t>Revise the C/C++ Standards</w:t>
            </w:r>
            <w:r>
              <w:rPr>
                <w:rStyle w:val="IndexLink"/>
                <w:vanish w:val="false"/>
              </w:rPr>
              <w:tab/>
            </w:r>
            <w:r>
              <w:rPr>
                <w:webHidden/>
              </w:rPr>
              <w:fldChar w:fldCharType="begin"/>
            </w:r>
            <w:r>
              <w:rPr>
                <w:webHidden/>
              </w:rPr>
              <w:instrText xml:space="preserve">PAGEREF _Toc52464071 \h</w:instrText>
            </w:r>
            <w:r>
              <w:rPr>
                <w:webHidden/>
              </w:rPr>
              <w:fldChar w:fldCharType="separate"/>
            </w:r>
            <w:r>
              <w:rPr>
                <w:rStyle w:val="IndexLink"/>
                <w:rFonts w:eastAsia="" w:cs="" w:ascii="Cambria" w:hAnsi="Cambria" w:asciiTheme="minorHAnsi" w:cstheme="minorBidi" w:eastAsiaTheme="minorEastAsia" w:hAnsiTheme="minorHAnsi"/>
                <w:sz w:val="22"/>
                <w:szCs w:val="22"/>
              </w:rPr>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2">
            <w:r>
              <w:rPr>
                <w:rStyle w:val="IndexLink"/>
                <w:webHidden/>
              </w:rPr>
              <w:t>2.</w:t>
            </w:r>
            <w:r>
              <w:rPr>
                <w:rStyle w:val="IndexLink"/>
                <w:rFonts w:eastAsia="" w:cs="" w:ascii="Cambria" w:hAnsi="Cambria" w:asciiTheme="minorHAnsi" w:cstheme="minorBidi" w:eastAsiaTheme="minorEastAsia" w:hAnsiTheme="minorHAnsi"/>
                <w:sz w:val="22"/>
                <w:szCs w:val="22"/>
              </w:rPr>
              <w:tab/>
            </w:r>
            <w:r>
              <w:rPr>
                <w:rStyle w:val="IndexLink"/>
              </w:rPr>
              <w:t>Risk Assessment</w:t>
            </w:r>
            <w:r>
              <w:rPr>
                <w:rStyle w:val="IndexLink"/>
                <w:vanish w:val="false"/>
              </w:rPr>
              <w:tab/>
            </w:r>
            <w:r>
              <w:rPr>
                <w:webHidden/>
              </w:rPr>
              <w:fldChar w:fldCharType="begin"/>
            </w:r>
            <w:r>
              <w:rPr>
                <w:webHidden/>
              </w:rPr>
              <w:instrText xml:space="preserve">PAGEREF _Toc52464072 \h</w:instrText>
            </w:r>
            <w:r>
              <w:rPr>
                <w:webHidden/>
              </w:rPr>
              <w:fldChar w:fldCharType="separate"/>
            </w:r>
            <w:r>
              <w:rPr>
                <w:rStyle w:val="IndexLink"/>
                <w:rFonts w:eastAsia="" w:cs="" w:ascii="Cambria" w:hAnsi="Cambria" w:asciiTheme="minorHAnsi" w:cstheme="minorBidi" w:eastAsiaTheme="minorEastAsia" w:hAnsiTheme="minorHAnsi"/>
                <w:sz w:val="22"/>
                <w:szCs w:val="22"/>
              </w:rPr>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3">
            <w:r>
              <w:rPr>
                <w:rStyle w:val="IndexLink"/>
                <w:webHidden/>
              </w:rPr>
              <w:t>3.</w:t>
            </w:r>
            <w:r>
              <w:rPr>
                <w:rStyle w:val="IndexLink"/>
                <w:rFonts w:eastAsia="" w:cs="" w:ascii="Cambria" w:hAnsi="Cambria" w:asciiTheme="minorHAnsi" w:cstheme="minorBidi" w:eastAsiaTheme="minorEastAsia" w:hAnsiTheme="minorHAnsi"/>
                <w:sz w:val="22"/>
                <w:szCs w:val="22"/>
              </w:rPr>
              <w:tab/>
            </w:r>
            <w:r>
              <w:rPr>
                <w:rStyle w:val="IndexLink"/>
              </w:rPr>
              <w:t>Automated Detection</w:t>
            </w:r>
            <w:r>
              <w:rPr>
                <w:rStyle w:val="IndexLink"/>
                <w:vanish w:val="false"/>
              </w:rPr>
              <w:tab/>
            </w:r>
            <w:r>
              <w:rPr>
                <w:webHidden/>
              </w:rPr>
              <w:fldChar w:fldCharType="begin"/>
            </w:r>
            <w:r>
              <w:rPr>
                <w:webHidden/>
              </w:rPr>
              <w:instrText xml:space="preserve">PAGEREF _Toc52464073 \h</w:instrText>
            </w:r>
            <w:r>
              <w:rPr>
                <w:webHidden/>
              </w:rPr>
              <w:fldChar w:fldCharType="separate"/>
            </w:r>
            <w:r>
              <w:rPr>
                <w:rStyle w:val="IndexLink"/>
                <w:rFonts w:eastAsia="" w:cs="" w:ascii="Cambria" w:hAnsi="Cambria" w:asciiTheme="minorHAnsi" w:cstheme="minorBidi" w:eastAsiaTheme="minorEastAsia" w:hAnsiTheme="minorHAnsi"/>
                <w:sz w:val="22"/>
                <w:szCs w:val="22"/>
              </w:rPr>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4">
            <w:r>
              <w:rPr>
                <w:rStyle w:val="IndexLink"/>
                <w:webHidden/>
              </w:rPr>
              <w:t>4.</w:t>
            </w:r>
            <w:r>
              <w:rPr>
                <w:rStyle w:val="IndexLink"/>
                <w:rFonts w:eastAsia="" w:cs="" w:ascii="Cambria" w:hAnsi="Cambria" w:asciiTheme="minorHAnsi" w:cstheme="minorBidi" w:eastAsiaTheme="minorEastAsia" w:hAnsiTheme="minorHAnsi"/>
                <w:sz w:val="22"/>
                <w:szCs w:val="22"/>
              </w:rPr>
              <w:tab/>
            </w:r>
            <w:r>
              <w:rPr>
                <w:rStyle w:val="IndexLink"/>
              </w:rPr>
              <w:t>Automation</w:t>
            </w:r>
            <w:r>
              <w:rPr>
                <w:rStyle w:val="IndexLink"/>
                <w:vanish w:val="false"/>
              </w:rPr>
              <w:tab/>
            </w:r>
            <w:r>
              <w:rPr>
                <w:webHidden/>
              </w:rPr>
              <w:fldChar w:fldCharType="begin"/>
            </w:r>
            <w:r>
              <w:rPr>
                <w:webHidden/>
              </w:rPr>
              <w:instrText xml:space="preserve">PAGEREF _Toc52464074 \h</w:instrText>
            </w:r>
            <w:r>
              <w:rPr>
                <w:webHidden/>
              </w:rPr>
              <w:fldChar w:fldCharType="separate"/>
            </w:r>
            <w:r>
              <w:rPr>
                <w:rStyle w:val="IndexLink"/>
                <w:rFonts w:eastAsia="" w:cs="" w:ascii="Cambria" w:hAnsi="Cambria" w:asciiTheme="minorHAnsi" w:cstheme="minorBidi" w:eastAsiaTheme="minorEastAsia" w:hAnsiTheme="minorHAnsi"/>
                <w:sz w:val="22"/>
                <w:szCs w:val="22"/>
              </w:rPr>
              <w:t>15</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5">
            <w:r>
              <w:rPr>
                <w:rStyle w:val="IndexLink"/>
                <w:webHidden/>
              </w:rPr>
              <w:t>5.</w:t>
            </w:r>
            <w:r>
              <w:rPr>
                <w:rStyle w:val="IndexLink"/>
                <w:rFonts w:eastAsia="" w:cs="" w:ascii="Cambria" w:hAnsi="Cambria" w:asciiTheme="minorHAnsi" w:cstheme="minorBidi" w:eastAsiaTheme="minorEastAsia" w:hAnsiTheme="minorHAnsi"/>
                <w:sz w:val="22"/>
                <w:szCs w:val="22"/>
              </w:rPr>
              <w:tab/>
            </w:r>
            <w:r>
              <w:rPr>
                <w:rStyle w:val="IndexLink"/>
              </w:rPr>
              <w:t>Summary of Risk Assessments</w:t>
            </w:r>
            <w:r>
              <w:rPr>
                <w:rStyle w:val="IndexLink"/>
                <w:vanish w:val="false"/>
              </w:rPr>
              <w:tab/>
            </w:r>
            <w:r>
              <w:rPr>
                <w:webHidden/>
              </w:rPr>
              <w:fldChar w:fldCharType="begin"/>
            </w:r>
            <w:r>
              <w:rPr>
                <w:webHidden/>
              </w:rPr>
              <w:instrText xml:space="preserve">PAGEREF _Toc52464075 \h</w:instrText>
            </w:r>
            <w:r>
              <w:rPr>
                <w:webHidden/>
              </w:rPr>
              <w:fldChar w:fldCharType="separate"/>
            </w:r>
            <w:r>
              <w:rPr>
                <w:rStyle w:val="IndexLink"/>
                <w:rFonts w:eastAsia="" w:cs="" w:ascii="Cambria" w:hAnsi="Cambria" w:asciiTheme="minorHAnsi" w:cstheme="minorBidi" w:eastAsiaTheme="minorEastAsia" w:hAnsiTheme="minorHAnsi"/>
                <w:sz w:val="22"/>
                <w:szCs w:val="22"/>
              </w:rPr>
              <w:t>16</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6">
            <w:r>
              <w:rPr>
                <w:rStyle w:val="IndexLink"/>
                <w:webHidden/>
              </w:rPr>
              <w:t>6.</w:t>
            </w:r>
            <w:r>
              <w:rPr>
                <w:rStyle w:val="IndexLink"/>
                <w:rFonts w:eastAsia="" w:cs="" w:ascii="Cambria" w:hAnsi="Cambria" w:asciiTheme="minorHAnsi" w:cstheme="minorBidi" w:eastAsiaTheme="minorEastAsia" w:hAnsiTheme="minorHAnsi"/>
                <w:sz w:val="22"/>
                <w:szCs w:val="22"/>
              </w:rPr>
              <w:tab/>
            </w:r>
            <w:r>
              <w:rPr>
                <w:rStyle w:val="IndexLink"/>
              </w:rPr>
              <w:t>Create Policies for Encryption and Triple A</w:t>
            </w:r>
            <w:r>
              <w:rPr>
                <w:rStyle w:val="IndexLink"/>
                <w:vanish w:val="false"/>
              </w:rPr>
              <w:tab/>
            </w:r>
            <w:r>
              <w:rPr>
                <w:webHidden/>
              </w:rPr>
              <w:fldChar w:fldCharType="begin"/>
            </w:r>
            <w:r>
              <w:rPr>
                <w:webHidden/>
              </w:rPr>
              <w:instrText xml:space="preserve">PAGEREF _Toc52464076 \h</w:instrText>
            </w:r>
            <w:r>
              <w:rPr>
                <w:webHidden/>
              </w:rPr>
              <w:fldChar w:fldCharType="separate"/>
            </w:r>
            <w:r>
              <w:rPr>
                <w:rStyle w:val="IndexLink"/>
                <w:rFonts w:eastAsia="" w:cs="" w:ascii="Cambria" w:hAnsi="Cambria" w:asciiTheme="minorHAnsi" w:cstheme="minorBidi" w:eastAsiaTheme="minorEastAsia" w:hAnsiTheme="minorHAnsi"/>
                <w:sz w:val="22"/>
                <w:szCs w:val="22"/>
              </w:rPr>
              <w:t>16</w:t>
            </w:r>
            <w:r>
              <w:rPr>
                <w:webHidden/>
              </w:rPr>
              <w:fldChar w:fldCharType="end"/>
            </w:r>
          </w:hyperlink>
        </w:p>
        <w:p>
          <w:pPr>
            <w:pStyle w:val="TOC2"/>
            <w:tabs>
              <w:tab w:val="clear" w:pos="720"/>
              <w:tab w:val="left" w:pos="660" w:leader="none"/>
              <w:tab w:val="right" w:pos="10790" w:leader="none"/>
            </w:tabs>
            <w:rPr>
              <w:rFonts w:ascii="Cambria" w:hAnsi="Cambria" w:eastAsia="" w:cs="" w:asciiTheme="minorHAnsi" w:cstheme="minorBidi" w:eastAsiaTheme="minorEastAsia" w:hAnsiTheme="minorHAnsi"/>
              <w:sz w:val="22"/>
              <w:szCs w:val="22"/>
            </w:rPr>
          </w:pPr>
          <w:hyperlink w:anchor="_Toc52464077">
            <w:r>
              <w:rPr>
                <w:rStyle w:val="IndexLink"/>
                <w:webHidden/>
              </w:rPr>
              <w:t>7.</w:t>
            </w:r>
            <w:r>
              <w:rPr>
                <w:rStyle w:val="IndexLink"/>
                <w:rFonts w:eastAsia="" w:cs="" w:ascii="Cambria" w:hAnsi="Cambria" w:asciiTheme="minorHAnsi" w:cstheme="minorBidi" w:eastAsiaTheme="minorEastAsia" w:hAnsiTheme="minorHAnsi"/>
                <w:sz w:val="22"/>
                <w:szCs w:val="22"/>
              </w:rPr>
              <w:tab/>
            </w:r>
            <w:r>
              <w:rPr>
                <w:rStyle w:val="IndexLink"/>
              </w:rPr>
              <w:t>Map the Principles</w:t>
            </w:r>
            <w:r>
              <w:rPr>
                <w:rStyle w:val="IndexLink"/>
                <w:vanish w:val="false"/>
              </w:rPr>
              <w:tab/>
            </w:r>
            <w:r>
              <w:rPr>
                <w:webHidden/>
              </w:rPr>
              <w:fldChar w:fldCharType="begin"/>
            </w:r>
            <w:r>
              <w:rPr>
                <w:webHidden/>
              </w:rPr>
              <w:instrText xml:space="preserve">PAGEREF _Toc52464077 \h</w:instrText>
            </w:r>
            <w:r>
              <w:rPr>
                <w:webHidden/>
              </w:rPr>
              <w:fldChar w:fldCharType="separate"/>
            </w:r>
            <w:r>
              <w:rPr>
                <w:rStyle w:val="IndexLink"/>
                <w:rFonts w:eastAsia="" w:cs="" w:ascii="Cambria" w:hAnsi="Cambria" w:asciiTheme="minorHAnsi" w:cstheme="minorBidi" w:eastAsiaTheme="minorEastAsia" w:hAnsiTheme="minorHAnsi"/>
                <w:sz w:val="22"/>
                <w:szCs w:val="22"/>
              </w:rPr>
              <w:t>17</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8">
            <w:r>
              <w:rPr>
                <w:rStyle w:val="IndexLink"/>
                <w:webHidden/>
              </w:rPr>
              <w:t>Audit Controls and Management</w:t>
            </w:r>
            <w:r>
              <w:rPr>
                <w:rStyle w:val="IndexLink"/>
                <w:vanish w:val="false"/>
              </w:rPr>
              <w:tab/>
            </w:r>
            <w:r>
              <w:rPr>
                <w:webHidden/>
              </w:rPr>
              <w:fldChar w:fldCharType="begin"/>
            </w:r>
            <w:r>
              <w:rPr>
                <w:webHidden/>
              </w:rPr>
              <w:instrText xml:space="preserve">PAGEREF _Toc52464078 \h</w:instrText>
            </w:r>
            <w:r>
              <w:rPr>
                <w:webHidden/>
              </w:rPr>
              <w:fldChar w:fldCharType="separate"/>
            </w:r>
            <w:r>
              <w:rPr>
                <w:rStyle w:val="IndexLink"/>
                <w:rFonts w:eastAsia="" w:cs="" w:ascii="Cambria" w:hAnsi="Cambria" w:asciiTheme="minorHAnsi" w:cstheme="minorBidi" w:eastAsiaTheme="minorEastAsia" w:hAnsiTheme="minorHAnsi"/>
                <w:sz w:val="22"/>
                <w:szCs w:val="22"/>
              </w:rPr>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79">
            <w:r>
              <w:rPr>
                <w:rStyle w:val="IndexLink"/>
                <w:webHidden/>
              </w:rPr>
              <w:t>Enforcement</w:t>
            </w:r>
            <w:r>
              <w:rPr>
                <w:rStyle w:val="IndexLink"/>
                <w:vanish w:val="false"/>
              </w:rPr>
              <w:tab/>
            </w:r>
            <w:r>
              <w:rPr>
                <w:webHidden/>
              </w:rPr>
              <w:fldChar w:fldCharType="begin"/>
            </w:r>
            <w:r>
              <w:rPr>
                <w:webHidden/>
              </w:rPr>
              <w:instrText xml:space="preserve">PAGEREF _Toc52464079 \h</w:instrText>
            </w:r>
            <w:r>
              <w:rPr>
                <w:webHidden/>
              </w:rPr>
              <w:fldChar w:fldCharType="separate"/>
            </w:r>
            <w:r>
              <w:rPr>
                <w:rStyle w:val="IndexLink"/>
                <w:rFonts w:eastAsia="" w:cs="" w:ascii="Cambria" w:hAnsi="Cambria" w:asciiTheme="minorHAnsi" w:cstheme="minorBidi" w:eastAsiaTheme="minorEastAsia" w:hAnsiTheme="minorHAnsi"/>
                <w:sz w:val="22"/>
                <w:szCs w:val="22"/>
              </w:rPr>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0">
            <w:r>
              <w:rPr>
                <w:rStyle w:val="IndexLink"/>
                <w:webHidden/>
              </w:rPr>
              <w:t>Exceptions Process</w:t>
            </w:r>
            <w:r>
              <w:rPr>
                <w:rStyle w:val="IndexLink"/>
                <w:vanish w:val="false"/>
              </w:rPr>
              <w:tab/>
            </w:r>
            <w:r>
              <w:rPr>
                <w:webHidden/>
              </w:rPr>
              <w:fldChar w:fldCharType="begin"/>
            </w:r>
            <w:r>
              <w:rPr>
                <w:webHidden/>
              </w:rPr>
              <w:instrText xml:space="preserve">PAGEREF _Toc52464080 \h</w:instrText>
            </w:r>
            <w:r>
              <w:rPr>
                <w:webHidden/>
              </w:rPr>
              <w:fldChar w:fldCharType="separate"/>
            </w:r>
            <w:r>
              <w:rPr>
                <w:rStyle w:val="IndexLink"/>
                <w:rFonts w:eastAsia="" w:cs="" w:ascii="Cambria" w:hAnsi="Cambria" w:asciiTheme="minorHAnsi" w:cstheme="minorBidi" w:eastAsiaTheme="minorEastAsia" w:hAnsiTheme="minorHAnsi"/>
                <w:sz w:val="22"/>
                <w:szCs w:val="22"/>
              </w:rPr>
              <w:t>18</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1">
            <w:r>
              <w:rPr>
                <w:rStyle w:val="IndexLink"/>
                <w:webHidden/>
              </w:rPr>
              <w:t>Distribution</w:t>
            </w:r>
            <w:r>
              <w:rPr>
                <w:rStyle w:val="IndexLink"/>
                <w:vanish w:val="false"/>
              </w:rPr>
              <w:tab/>
            </w:r>
            <w:r>
              <w:rPr>
                <w:webHidden/>
              </w:rPr>
              <w:fldChar w:fldCharType="begin"/>
            </w:r>
            <w:r>
              <w:rPr>
                <w:webHidden/>
              </w:rPr>
              <w:instrText xml:space="preserve">PAGEREF _Toc52464081 \h</w:instrText>
            </w:r>
            <w:r>
              <w:rPr>
                <w:webHidden/>
              </w:rPr>
              <w:fldChar w:fldCharType="separate"/>
            </w:r>
            <w:r>
              <w:rPr>
                <w:rStyle w:val="IndexLink"/>
                <w:rFonts w:eastAsia="" w:cs="" w:ascii="Cambria" w:hAnsi="Cambria" w:asciiTheme="minorHAnsi" w:cstheme="minorBidi" w:eastAsiaTheme="minorEastAsia" w:hAnsiTheme="minorHAnsi"/>
                <w:sz w:val="22"/>
                <w:szCs w:val="22"/>
              </w:rPr>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2">
            <w:r>
              <w:rPr>
                <w:rStyle w:val="IndexLink"/>
                <w:webHidden/>
              </w:rPr>
              <w:t>Policy Change Control</w:t>
            </w:r>
            <w:r>
              <w:rPr>
                <w:rStyle w:val="IndexLink"/>
                <w:vanish w:val="false"/>
              </w:rPr>
              <w:tab/>
            </w:r>
            <w:r>
              <w:rPr>
                <w:webHidden/>
              </w:rPr>
              <w:fldChar w:fldCharType="begin"/>
            </w:r>
            <w:r>
              <w:rPr>
                <w:webHidden/>
              </w:rPr>
              <w:instrText xml:space="preserve">PAGEREF _Toc52464082 \h</w:instrText>
            </w:r>
            <w:r>
              <w:rPr>
                <w:webHidden/>
              </w:rPr>
              <w:fldChar w:fldCharType="separate"/>
            </w:r>
            <w:r>
              <w:rPr>
                <w:rStyle w:val="IndexLink"/>
                <w:rFonts w:eastAsia="" w:cs="" w:ascii="Cambria" w:hAnsi="Cambria" w:asciiTheme="minorHAnsi" w:cstheme="minorBidi" w:eastAsiaTheme="minorEastAsia" w:hAnsiTheme="minorHAnsi"/>
                <w:sz w:val="22"/>
                <w:szCs w:val="22"/>
              </w:rPr>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3">
            <w:r>
              <w:rPr>
                <w:rStyle w:val="IndexLink"/>
                <w:webHidden/>
              </w:rPr>
              <w:t>Policy Version History</w:t>
            </w:r>
            <w:r>
              <w:rPr>
                <w:rStyle w:val="IndexLink"/>
                <w:vanish w:val="false"/>
              </w:rPr>
              <w:tab/>
            </w:r>
            <w:r>
              <w:rPr>
                <w:webHidden/>
              </w:rPr>
              <w:fldChar w:fldCharType="begin"/>
            </w:r>
            <w:r>
              <w:rPr>
                <w:webHidden/>
              </w:rPr>
              <w:instrText xml:space="preserve">PAGEREF _Toc52464083 \h</w:instrText>
            </w:r>
            <w:r>
              <w:rPr>
                <w:webHidden/>
              </w:rPr>
              <w:fldChar w:fldCharType="separate"/>
            </w:r>
            <w:r>
              <w:rPr>
                <w:rStyle w:val="IndexLink"/>
                <w:rFonts w:eastAsia="" w:cs="" w:ascii="Cambria" w:hAnsi="Cambria" w:asciiTheme="minorHAnsi" w:cstheme="minorBidi" w:eastAsiaTheme="minorEastAsia" w:hAnsiTheme="minorHAnsi"/>
                <w:sz w:val="22"/>
                <w:szCs w:val="22"/>
              </w:rPr>
              <w:t>19</w:t>
            </w:r>
            <w:r>
              <w:rPr>
                <w:webHidden/>
              </w:rPr>
              <w:fldChar w:fldCharType="end"/>
            </w:r>
          </w:hyperlink>
        </w:p>
        <w:p>
          <w:pPr>
            <w:pStyle w:val="TOC1"/>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4">
            <w:r>
              <w:rPr>
                <w:rStyle w:val="IndexLink"/>
                <w:webHidden/>
              </w:rPr>
              <w:t>Appendix A Lookups</w:t>
            </w:r>
            <w:r>
              <w:rPr>
                <w:rStyle w:val="IndexLink"/>
                <w:vanish w:val="false"/>
              </w:rPr>
              <w:tab/>
            </w:r>
            <w:r>
              <w:rPr>
                <w:webHidden/>
              </w:rPr>
              <w:fldChar w:fldCharType="begin"/>
            </w:r>
            <w:r>
              <w:rPr>
                <w:webHidden/>
              </w:rPr>
              <w:instrText xml:space="preserve">PAGEREF _Toc52464084 \h</w:instrText>
            </w:r>
            <w:r>
              <w:rPr>
                <w:webHidden/>
              </w:rPr>
              <w:fldChar w:fldCharType="separate"/>
            </w:r>
            <w:r>
              <w:rPr>
                <w:rStyle w:val="IndexLink"/>
                <w:rFonts w:eastAsia="" w:cs="" w:ascii="Cambria" w:hAnsi="Cambria" w:asciiTheme="minorHAnsi" w:cstheme="minorBidi" w:eastAsiaTheme="minorEastAsia" w:hAnsiTheme="minorHAnsi"/>
                <w:sz w:val="22"/>
                <w:szCs w:val="22"/>
              </w:rPr>
              <w:t>19</w:t>
            </w:r>
            <w:r>
              <w:rPr>
                <w:webHidden/>
              </w:rPr>
              <w:fldChar w:fldCharType="end"/>
            </w:r>
          </w:hyperlink>
        </w:p>
        <w:p>
          <w:pPr>
            <w:pStyle w:val="TOC2"/>
            <w:tabs>
              <w:tab w:val="clear" w:pos="720"/>
              <w:tab w:val="right" w:pos="10790" w:leader="none"/>
            </w:tabs>
            <w:rPr>
              <w:rFonts w:ascii="Cambria" w:hAnsi="Cambria" w:eastAsia="" w:cs="" w:asciiTheme="minorHAnsi" w:cstheme="minorBidi" w:eastAsiaTheme="minorEastAsia" w:hAnsiTheme="minorHAnsi"/>
              <w:sz w:val="22"/>
              <w:szCs w:val="22"/>
            </w:rPr>
          </w:pPr>
          <w:hyperlink w:anchor="_Toc52464085">
            <w:r>
              <w:rPr>
                <w:rStyle w:val="IndexLink"/>
                <w:webHidden/>
              </w:rPr>
              <w:t>Approved C/C++ Language Acronyms</w:t>
            </w:r>
            <w:r>
              <w:rPr>
                <w:rStyle w:val="IndexLink"/>
                <w:vanish w:val="false"/>
              </w:rPr>
              <w:tab/>
            </w:r>
            <w:r>
              <w:rPr>
                <w:webHidden/>
              </w:rPr>
              <w:fldChar w:fldCharType="begin"/>
            </w:r>
            <w:r>
              <w:rPr>
                <w:webHidden/>
              </w:rPr>
              <w:instrText xml:space="preserve">PAGEREF _Toc52464085 \h</w:instrText>
            </w:r>
            <w:r>
              <w:rPr>
                <w:webHidden/>
              </w:rPr>
              <w:fldChar w:fldCharType="separate"/>
            </w:r>
            <w:r>
              <w:rPr>
                <w:rStyle w:val="IndexLink"/>
                <w:rFonts w:eastAsia="" w:cs="" w:ascii="Cambria" w:hAnsi="Cambria" w:asciiTheme="minorHAnsi" w:cstheme="minorBidi" w:eastAsiaTheme="minorEastAsia" w:hAnsiTheme="minorHAnsi"/>
                <w:sz w:val="22"/>
                <w:szCs w:val="22"/>
              </w:rPr>
              <w:t>19</w:t>
            </w:r>
            <w:r>
              <w:rPr>
                <w:webHidden/>
              </w:rPr>
              <w:fldChar w:fldCharType="end"/>
            </w:r>
          </w:hyperlink>
          <w:r>
            <w:rPr>
              <w:rStyle w:val="IndexLink"/>
              <w:rFonts w:eastAsia="" w:cs="" w:ascii="Cambria" w:hAnsi="Cambria"/>
              <w:sz w:val="22"/>
              <w:szCs w:val="22"/>
            </w:rPr>
            <w:fldChar w:fldCharType="end"/>
          </w:r>
        </w:p>
      </w:sdtContent>
    </w:sdt>
    <w:p>
      <w:pPr>
        <w:pStyle w:val="Normal"/>
        <w:tabs>
          <w:tab w:val="clear" w:pos="720"/>
          <w:tab w:val="right" w:pos="13997" w:leader="none"/>
        </w:tabs>
        <w:ind w:start="360"/>
        <w:rPr>
          <w:color w:val="000000"/>
        </w:rPr>
      </w:pPr>
      <w:r>
        <w:rPr>
          <w:color w:val="000000"/>
        </w:rPr>
      </w:r>
    </w:p>
    <w:p>
      <w:pPr>
        <w:pStyle w:val="Normal"/>
        <w:rPr>
          <w:b/>
          <w:color w:val="000000"/>
          <w:sz w:val="28"/>
          <w:szCs w:val="28"/>
        </w:rPr>
      </w:pPr>
      <w:r>
        <w:rPr>
          <w:b/>
          <w:color w:val="000000"/>
          <w:sz w:val="28"/>
          <w:szCs w:val="28"/>
        </w:rPr>
      </w:r>
      <w:r>
        <w:br w:type="page"/>
      </w:r>
    </w:p>
    <w:p>
      <w:pPr>
        <w:pStyle w:val="Heading2"/>
        <w:spacing w:before="0" w:after="0"/>
        <w:contextualSpacing/>
        <w:rPr/>
      </w:pPr>
      <w:bookmarkStart w:id="0" w:name="_Toc52464053"/>
      <w:r>
        <w:rPr/>
        <w:t>Overview</w:t>
      </w:r>
      <w:bookmarkEnd w:id="0"/>
    </w:p>
    <w:p>
      <w:pPr>
        <w:pStyle w:val="Normal"/>
        <w:rPr/>
      </w:pPr>
      <w:r>
        <w:rP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pPr>
        <w:pStyle w:val="Normal"/>
        <w:rPr/>
      </w:pPr>
      <w:r>
        <w:rPr/>
      </w:r>
    </w:p>
    <w:p>
      <w:pPr>
        <w:pStyle w:val="Heading2"/>
        <w:rPr/>
      </w:pPr>
      <w:bookmarkStart w:id="1" w:name="_Toc52464054"/>
      <w:r>
        <w:rPr/>
        <w:t>Purpose</w:t>
      </w:r>
      <w:bookmarkEnd w:id="1"/>
    </w:p>
    <w:p>
      <w:pPr>
        <w:pStyle w:val="Normal"/>
        <w:rPr>
          <w:u w:val="single"/>
        </w:rPr>
      </w:pPr>
      <w:r>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3" w:tooltip="https://www.linkedin.com/pulse/understanding-hierarchy-principles-policies-standards-wally-beddoe/">
        <w:r>
          <w:rPr>
            <w:rStyle w:val="Style3"/>
            <w:color w:val="0000FF"/>
            <w:u w:val="single"/>
          </w:rPr>
          <w:t>Understanding the Hierarchy of Principles, Policies, Standards, Procedures, and Guidelines</w:t>
        </w:r>
      </w:hyperlink>
      <w:r>
        <w:rPr/>
        <w:t>.</w:t>
      </w:r>
    </w:p>
    <w:p>
      <w:pPr>
        <w:pStyle w:val="Normal"/>
        <w:rPr/>
      </w:pPr>
      <w:r>
        <w:rPr/>
      </w:r>
    </w:p>
    <w:p>
      <w:pPr>
        <w:pStyle w:val="Heading2"/>
        <w:rPr/>
      </w:pPr>
      <w:bookmarkStart w:id="2" w:name="_Toc52464055"/>
      <w:r>
        <w:rPr/>
        <w:t>Scope</w:t>
      </w:r>
      <w:bookmarkEnd w:id="2"/>
    </w:p>
    <w:p>
      <w:pPr>
        <w:pStyle w:val="Normal"/>
        <w:rPr/>
      </w:pPr>
      <w:r>
        <w:rPr/>
        <w:t>This document applies to all staff that create, deploy, or support custom software at Green Pace.</w:t>
      </w:r>
    </w:p>
    <w:p>
      <w:pPr>
        <w:pStyle w:val="Normal"/>
        <w:rPr/>
      </w:pPr>
      <w:r>
        <w:rPr/>
      </w:r>
    </w:p>
    <w:p>
      <w:pPr>
        <w:pStyle w:val="Heading2"/>
        <w:rPr/>
      </w:pPr>
      <w:bookmarkStart w:id="3" w:name="_Toc52464056"/>
      <w:r>
        <w:rPr/>
        <w:t>Module Three Milestone</w:t>
      </w:r>
      <w:bookmarkEnd w:id="3"/>
      <w:r>
        <w:rPr/>
        <w:t xml:space="preserve"> </w:t>
      </w:r>
    </w:p>
    <w:p>
      <w:pPr>
        <w:pStyle w:val="Heading3"/>
        <w:rPr/>
      </w:pPr>
      <w:bookmarkStart w:id="4" w:name="_Toc52464057"/>
      <w:r>
        <w:rPr/>
        <w:t>Ten Core Security Principles</w:t>
      </w:r>
      <w:bookmarkEnd w:id="4"/>
    </w:p>
    <w:tbl>
      <w:tblPr>
        <w:tblStyle w:val="afffff"/>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2541"/>
        <w:gridCol w:w="8239"/>
      </w:tblGrid>
      <w:tr>
        <w:trPr>
          <w:tblHeader w:val="true"/>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jc w:val="center"/>
              <w:rPr>
                <w:b/>
              </w:rPr>
            </w:pPr>
            <w:r>
              <w:rPr>
                <w:b/>
              </w:rPr>
              <w:t>Principles</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Write a short paragraph explaining each of the 10 principles of security.</w:t>
            </w:r>
          </w:p>
        </w:tc>
      </w:tr>
      <w:tr>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pBdr/>
              <w:ind w:hanging="360" w:star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t>Input validation is the process of verifying that all data received from external sources users, files, network streams, or third-party APIs conforms to expected types, lengths, formats, and ranges before it is processed. Every piece of untrusted input must be treated as potentially malicious. Developers must define an allowlist of acceptable values and reject anything that does not match. Without rigorous input validation, attackers can introduce malformed data that leads to buffer overflows, injection attacks, logic errors, or system crashes. At Green Pace, all external input must be validated server-side regardless of any client-side validation already in place.</w:t>
            </w:r>
          </w:p>
        </w:tc>
      </w:tr>
      <w:tr>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pBdr/>
              <w:ind w:hanging="360" w:start="342"/>
              <w:rPr/>
            </w:pPr>
            <w:r>
              <w:rPr>
                <w:color w:val="000000"/>
                <w:sz w:val="24"/>
                <w:szCs w:val="24"/>
              </w:rPr>
              <w:t>Heed Compiler Warnings</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t>Modern compilers and static analysis tools surface warnings that frequently indicate real defects uninitialized variables, type mismatches, unreachable code, or deprecated functions before the software is ever executed. Ignoring these warnings allows latent vulnerabilities to accumulate and reach production. Green Pace requires that all code be compiled at the highest practical warning level (e.g., -Wall -Wextra for GCC/Clang) and that all warnings be treated as errors in the CI/CD pipeline. Suppressing a warning is only permissible with documented justification reviewed by the security team.</w:t>
            </w:r>
          </w:p>
        </w:tc>
      </w:tr>
      <w:tr>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pBdr/>
              <w:ind w:hanging="360" w:start="342"/>
              <w:rPr/>
            </w:pPr>
            <w:r>
              <w:rPr>
                <w:color w:val="000000"/>
                <w:sz w:val="24"/>
                <w:szCs w:val="24"/>
              </w:rPr>
              <w:t>Architect and Design for Security Policies</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t>Security cannot be bolted on after the fact; it must be a first-class concern during architecture and design. This principle requires threat modeling, attack-surface analysis, and the selection of secure design patterns before a single line of code is written. Architectural decisions such as how services communicate, how credentials are stored, and how trust boundaries are drawn determine the security posture of the entire system. Green Pace mandates formal security design reviews at the beginning of every project and for every significant feature change, ensuring that defenses are built into the foundation rather than applied as afterthoughts.</w:t>
            </w:r>
          </w:p>
        </w:tc>
      </w:tr>
      <w:tr>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pBdr/>
              <w:ind w:hanging="360" w:start="342"/>
              <w:rPr/>
            </w:pPr>
            <w:r>
              <w:rPr>
                <w:color w:val="000000"/>
                <w:sz w:val="24"/>
                <w:szCs w:val="24"/>
              </w:rPr>
              <w:t>Keep It Simple</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t>Complexity is the enemy of security. Every additional line of code, every extra configuration option, and every unnecessary dependency increases the attack surface and the likelihood of introducing a defect. The Keep It Simple principle directs developers to choose the most straightforward design that satisfies requirements. Simpler code is easier to review, test, and audit. At Green Pace, developers are expected to refactor overly complex solutions, eliminate dead code, and favor well-understood libraries over custom implementations whenever possible.</w:t>
            </w:r>
          </w:p>
        </w:tc>
      </w:tr>
      <w:tr>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pBdr/>
              <w:ind w:hanging="360" w:start="342"/>
              <w:rPr/>
            </w:pPr>
            <w:r>
              <w:rPr>
                <w:color w:val="000000"/>
                <w:sz w:val="24"/>
                <w:szCs w:val="24"/>
              </w:rPr>
              <w:t>Default Deny</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t>The default deny principle states that access to any resource should be forbidden unless it has been explicitly granted. By denying everything that is not explicitly permitted, the impact of configuration errors is minimized. Green Pace requires that all network policies, access control lists, file permissions, and API authorization schemes be configured to deny by default, with explicit allow rules granted only after review and business justification. This applies at every layer of the stack, from firewall rules to application-level role-based access control.</w:t>
            </w:r>
          </w:p>
        </w:tc>
      </w:tr>
      <w:tr>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pBdr/>
              <w:ind w:hanging="360" w:start="342"/>
              <w:rPr/>
            </w:pPr>
            <w:r>
              <w:rPr>
                <w:color w:val="000000"/>
                <w:sz w:val="24"/>
                <w:szCs w:val="24"/>
              </w:rPr>
              <w:t>Adhere to the Principle of Least Privilege</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t>Every process, user account, and software component should operate with only the minimum permissions required to perform its intended function. Granting excess privilege increases the blast radius of a compromise. Green Pace enforces least privilege by requiring role-based access control with narrow, well-defined roles; service accounts restricted to only the APIs and data they need; and periodic access reviews to revoke permissions that are no longer needed. Privilege escalation must always require explicit authorization and multi-factor verification.</w:t>
            </w:r>
          </w:p>
        </w:tc>
      </w:tr>
      <w:tr>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pBdr/>
              <w:ind w:hanging="360" w:start="342"/>
              <w:rPr/>
            </w:pPr>
            <w:r>
              <w:rPr>
                <w:color w:val="000000"/>
                <w:sz w:val="24"/>
                <w:szCs w:val="24"/>
              </w:rPr>
              <w:t>Sanitize Data Sent to Other Systems</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t>Before data is passed to external systems databases, operating-system shells, third-party APIs, email servers, or log aggregators it must be sanitized to remove or neutralize any characters or sequences that could be interpreted as commands by the receiving system. Failure to sanitize output is the root cause of injection attacks, including SQL injection, command injection, and cross-site scripting. Green Pace requires the use of parameterized queries for all database calls, context-aware output encoding for all data rendered in HTML or JavaScript, and allow-list validation before any data is passed to system calls.</w:t>
            </w:r>
          </w:p>
        </w:tc>
      </w:tr>
      <w:tr>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pBdr/>
              <w:ind w:hanging="360" w:start="342"/>
              <w:rPr/>
            </w:pPr>
            <w:r>
              <w:rPr>
                <w:color w:val="000000"/>
                <w:sz w:val="24"/>
                <w:szCs w:val="24"/>
              </w:rPr>
              <w:t>Practice Defense in Depth</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t>Defense in depth is the practice of layering multiple independent security controls so that the failure of any single control does not result in a breach. At Green Pace, defense in depth is implemented across physical, network, host, application, and data layers: perimeter firewalls, network segmentation, host-based intrusion detection, application-level input validation, encryption of data at rest and in transit, and mandatory access controls all work in concert. This layered approach reflects the DevSecOps commitment to treating security as a continuous, system-wide property.</w:t>
            </w:r>
          </w:p>
        </w:tc>
      </w:tr>
      <w:tr>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pBdr/>
              <w:ind w:hanging="360" w:start="342"/>
              <w:rPr/>
            </w:pPr>
            <w:r>
              <w:rPr>
                <w:color w:val="000000"/>
                <w:sz w:val="24"/>
                <w:szCs w:val="24"/>
              </w:rPr>
              <w:t>Use Effective Quality Assurance Techniques</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t>Security and quality are complementary properties. Techniques such as unit testing, integration testing, code review, static analysis, dynamic analysis, and fuzz testing all improve both correctness and security simultaneously. Green Pace mandates a minimum test coverage threshold, mandatory peer code review for all changes, automated SAST and DAST in the CI/CD pipeline, and periodic penetration testing by qualified security professionals. Test results must be tracked and acted upon; unresolved critical or high findings block deployment to production.</w:t>
            </w:r>
          </w:p>
        </w:tc>
      </w:tr>
      <w:tr>
        <w:trPr/>
        <w:tc>
          <w:tcPr>
            <w:tcW w:w="2541" w:type="dxa"/>
            <w:tcBorders>
              <w:top w:val="single" w:sz="8" w:space="0" w:color="000000"/>
              <w:start w:val="single" w:sz="8" w:space="0" w:color="000000"/>
              <w:bottom w:val="single" w:sz="8" w:space="0" w:color="000000"/>
              <w:end w:val="single" w:sz="8" w:space="0" w:color="000000"/>
            </w:tcBorders>
            <w:shd w:color="auto" w:fill="auto" w:val="clear"/>
          </w:tcPr>
          <w:p>
            <w:pPr>
              <w:pStyle w:val="Normal"/>
              <w:numPr>
                <w:ilvl w:val="0"/>
                <w:numId w:val="2"/>
              </w:numPr>
              <w:pBdr/>
              <w:ind w:hanging="360" w:start="342"/>
              <w:rPr/>
            </w:pPr>
            <w:r>
              <w:rPr>
                <w:color w:val="000000"/>
                <w:sz w:val="24"/>
                <w:szCs w:val="24"/>
              </w:rPr>
              <w:t>Adopt a Secure Coding Standard</w:t>
            </w:r>
          </w:p>
        </w:tc>
        <w:tc>
          <w:tcPr>
            <w:tcW w:w="8239"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t>Adopting a recognized secure coding standard such as the SEI CERT C++ Coding Standard gives developers a shared, peer-reviewed baseline of rules that prevent the most common and dangerous vulnerabilities. The standard covers data types, memory management, concurrency, input validation, error handling, and more. Green Pace requires all C and C++ developers to follow the SEI CERT C++ Coding Standard, with compliance verified through automated tooling and code review. Deviations require documented justification and security team approval.</w:t>
            </w:r>
          </w:p>
        </w:tc>
      </w:tr>
    </w:tbl>
    <w:p>
      <w:pPr>
        <w:pStyle w:val="Normal"/>
        <w:rPr/>
      </w:pPr>
      <w:r>
        <w:rPr/>
      </w:r>
      <w:bookmarkStart w:id="5" w:name="_heading=h.kfauw168p7ru"/>
      <w:bookmarkStart w:id="6" w:name="_heading=h.kfauw168p7ru"/>
      <w:bookmarkEnd w:id="6"/>
    </w:p>
    <w:p>
      <w:pPr>
        <w:pStyle w:val="Heading3"/>
        <w:rPr/>
      </w:pPr>
      <w:bookmarkStart w:id="7" w:name="_Toc52464058"/>
      <w:r>
        <w:rPr/>
        <w:t>C/C++ Ten Coding Standards</w:t>
      </w:r>
      <w:bookmarkEnd w:id="7"/>
    </w:p>
    <w:p>
      <w:pPr>
        <w:pStyle w:val="Normal"/>
        <w:rPr>
          <w:b/>
          <w:sz w:val="27"/>
          <w:szCs w:val="27"/>
        </w:rPr>
      </w:pPr>
      <w:r>
        <w:rP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pPr>
        <w:pStyle w:val="Heading4"/>
        <w:spacing w:before="0" w:after="0"/>
        <w:rPr/>
      </w:pPr>
      <w:bookmarkStart w:id="8" w:name="_Toc52464059"/>
      <w:r>
        <w:rPr/>
        <w:t>Coding Standard 1</w:t>
      </w:r>
      <w:bookmarkEnd w:id="8"/>
    </w:p>
    <w:p>
      <w:pPr>
        <w:pStyle w:val="Normal"/>
        <w:rPr/>
      </w:pPr>
      <w:r>
        <w:rPr/>
      </w:r>
    </w:p>
    <w:tbl>
      <w:tblPr>
        <w:tblStyle w:val="afffff0"/>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806"/>
        <w:gridCol w:w="1341"/>
        <w:gridCol w:w="7633"/>
      </w:tblGrid>
      <w:tr>
        <w:trPr>
          <w:tblHeader w:val="true"/>
          <w:trHeight w:val="42"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6"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Data Type</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STD-001-CPP</w:t>
            </w:r>
          </w:p>
        </w:tc>
        <w:tc>
          <w:tcPr>
            <w:tcW w:w="7633" w:type="dxa"/>
            <w:tcBorders>
              <w:top w:val="single" w:sz="8" w:space="0" w:color="000000"/>
              <w:start w:val="single" w:sz="8" w:space="0" w:color="000000"/>
              <w:bottom w:val="single" w:sz="8" w:space="0" w:color="000000"/>
              <w:end w:val="single" w:sz="8" w:space="0" w:color="000000"/>
            </w:tcBorders>
          </w:tcPr>
          <w:p>
            <w:pPr>
              <w:pStyle w:val="Normal"/>
              <w:rPr/>
            </w:pPr>
            <w:r>
              <w:rPr/>
              <w:t>Use Correct Integer Types to Prevent Overflow (INT30-C)  Integer overflow and type-mismatch errors cause security vulnerabilities in C/C++ programs. Using an inappropriately sized or signed integer type can cause values to wrap around silently, leading to buffer over-reads, under-allocations, and logic errors. SEI CERT rule INT30-C states that unsigned integer operations shall not produce values that wrap. All integer types must be chosen to match the full range of values the variable may hold, and arithmetic must be checked for overflow before use.</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stores a user-supplied length in an unsigned int. If the user provides a very large value that wraps when multiplied, the resulting allocation is too small.</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unsigned int len = user_input(); // len * 4 may wrap to a small value on 32-bit systems char *buf = (char*)malloc(len * 4); memcpy(buf, data, len * 4);  // Heap buffer overflow</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Use size_t for sizes and check for overflow before performing arithmetic.</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&lt;stdint.h&gt; #include &lt;stdlib.h&gt; size_t len = user_input(); if (len &gt; SIZE_MAX / 4) {     return ERROR_INVALID_SIZE; } char *buf = (char*)malloc(len * 4); if (!buf) { return ERROR_ALLOC_FAILED; } memcpy(buf, data, len * 4);</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b/>
              </w:rPr>
              <w:t>Principles(s):</w:t>
            </w:r>
            <w:r>
              <w:rPr/>
              <w:t xml:space="preserve"> Principles 1 and 8. Principle 1 (Validate Input Data): Choosing correct integer types directly validates numeric input ranges. Principle 8 (Defense in Depth): Checking overflow before use adds an additional defensive layer.</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5"/>
        <w:gridCol w:w="1341"/>
        <w:gridCol w:w="4021"/>
        <w:gridCol w:w="1808"/>
        <w:gridCol w:w="1805"/>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Medium</w:t>
            </w:r>
          </w:p>
        </w:tc>
        <w:tc>
          <w:tcPr>
            <w:tcW w:w="180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6"/>
        <w:gridCol w:w="1341"/>
        <w:gridCol w:w="4021"/>
        <w:gridCol w:w="3612"/>
      </w:tblGrid>
      <w:tr>
        <w:trPr>
          <w:tblHeader w:val="true"/>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Coverity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2023.6</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INTEGER_OVERFLOW</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signed and unsigned integer overflow and truncation errors in C/C++ code.</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Clang-Tidy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17.0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bugprone-integer-division</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Flags integer division in floating-point contexts and related type mismatches.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cpp:S1855</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suspicious arithmetic on integer types likely to overflow.</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PC-lint Plus</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MISRA C++ Rule 5-0-8</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Checks that explicit integer casts do not silently truncate or change signedness.</w:t>
            </w:r>
          </w:p>
        </w:tc>
      </w:tr>
    </w:tbl>
    <w:p>
      <w:pPr>
        <w:pStyle w:val="Normal"/>
        <w:rPr>
          <w:b/>
          <w:sz w:val="27"/>
          <w:szCs w:val="27"/>
        </w:rPr>
      </w:pPr>
      <w:r>
        <w:rPr>
          <w:b/>
          <w:sz w:val="27"/>
          <w:szCs w:val="27"/>
        </w:rPr>
      </w:r>
      <w:r>
        <w:br w:type="page"/>
      </w:r>
    </w:p>
    <w:p>
      <w:pPr>
        <w:pStyle w:val="Heading4"/>
        <w:spacing w:before="0" w:after="0"/>
        <w:rPr/>
      </w:pPr>
      <w:bookmarkStart w:id="9" w:name="_Toc52464060"/>
      <w:r>
        <w:rPr/>
        <w:t>Coding Standard 2</w:t>
      </w:r>
      <w:bookmarkEnd w:id="9"/>
    </w:p>
    <w:p>
      <w:pPr>
        <w:pStyle w:val="Normal"/>
        <w:rPr/>
      </w:pPr>
      <w:r>
        <w:rPr/>
      </w:r>
    </w:p>
    <w:tbl>
      <w:tblPr>
        <w:tblStyle w:val="afffff6"/>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806"/>
        <w:gridCol w:w="1341"/>
        <w:gridCol w:w="7633"/>
      </w:tblGrid>
      <w:tr>
        <w:trPr>
          <w:tblHeader w:val="true"/>
          <w:trHeight w:val="42"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6"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Data Value</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STD-002-CPP</w:t>
            </w:r>
          </w:p>
        </w:tc>
        <w:tc>
          <w:tcPr>
            <w:tcW w:w="7633" w:type="dxa"/>
            <w:tcBorders>
              <w:top w:val="single" w:sz="8" w:space="0" w:color="000000"/>
              <w:start w:val="single" w:sz="8" w:space="0" w:color="000000"/>
              <w:bottom w:val="single" w:sz="8" w:space="0" w:color="000000"/>
              <w:end w:val="single" w:sz="8" w:space="0" w:color="000000"/>
            </w:tcBorders>
          </w:tcPr>
          <w:p>
            <w:pPr>
              <w:pStyle w:val="Normal"/>
              <w:rPr/>
            </w:pPr>
            <w:r>
              <w:rPr/>
              <w:t>Validate Data Values Before Use (EXP34-C / INT31-C)  Data values must fall within expected ranges before use in computations, array indexing, or system calls. An out-of-range value can cause out-of-bounds reads or writes and null-pointer dereferences. SEI CERT rule EXP34-C prohibits dereferencing null pointers, and INT31-C requires that integer conversions not lose or misrepresent data. Green Pace mandates explicit range and null checks for all data values obtained from external sources.</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uses an index derived from user input without checking that it falls within the array bounds.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int arr[10] = {0,1,2,3,4,5,6,7,8,9}; int idx = get_user_index();  // Could be any integer printf("%d ", arr[idx]);    // Out-of-bounds if idx &lt; 0 or idx &gt;= 10</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Validate the index against array bounds before use.</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int arr[10] = {0,1,2,3,4,5,6,7,8,9}; int idx = get_user_index(); if (idx &lt; 0 || idx &gt;= (int)(sizeof(arr)/sizeof(arr[0]))) {     fprintf(stderr, "Index out of range: %d ", idx);     return ERROR_OUT_OF_RANGE; } printf("%d ", arr[idx]);</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b/>
              </w:rPr>
              <w:t>Principles(s):</w:t>
            </w:r>
            <w:r>
              <w:rPr/>
              <w:t xml:space="preserve"> Principle 1 (Validate Input Data): All external data values must be validated before use. Principle 5 (Default Deny): Access to memory locations is denied unless the index is explicitly verified to be valid.</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5"/>
        <w:gridCol w:w="1341"/>
        <w:gridCol w:w="4021"/>
        <w:gridCol w:w="1808"/>
        <w:gridCol w:w="1805"/>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0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6"/>
        <w:gridCol w:w="1341"/>
        <w:gridCol w:w="4021"/>
        <w:gridCol w:w="3612"/>
      </w:tblGrid>
      <w:tr>
        <w:trPr>
          <w:tblHeader w:val="true"/>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Coverity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2023.6</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NULL_RETURNS / ARRAY_VS_SINGLETON</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null-pointer dereferences and out-of-bounds array accesses.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AddressSanitizer (ASan)</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LLVM 17</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heap-buffer-overflow / stack-buffer-overflow</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Runtime instrumentation detecting buffer overflows and use-after-free during testing.</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cpp:S3519</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Static rules flagging missing array bound checks and potential null dereferences.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Clang-Tidy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17.0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cppcoreguidelines-pro-bounds-constant-array-index</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Warns when arrays are indexed with non-constant expressions that may be out of range.</w:t>
            </w:r>
          </w:p>
        </w:tc>
      </w:tr>
    </w:tbl>
    <w:p>
      <w:pPr>
        <w:pStyle w:val="Heading4"/>
        <w:rPr>
          <w:sz w:val="27"/>
          <w:szCs w:val="27"/>
        </w:rPr>
      </w:pPr>
      <w:r>
        <w:rPr>
          <w:sz w:val="27"/>
          <w:szCs w:val="27"/>
        </w:rPr>
      </w:r>
      <w:r>
        <w:br w:type="page"/>
      </w:r>
    </w:p>
    <w:p>
      <w:pPr>
        <w:pStyle w:val="Heading4"/>
        <w:spacing w:before="0" w:after="0"/>
        <w:rPr/>
      </w:pPr>
      <w:bookmarkStart w:id="10" w:name="_Toc52464061"/>
      <w:r>
        <w:rPr/>
        <w:t>Coding Standard 3</w:t>
      </w:r>
      <w:bookmarkEnd w:id="10"/>
    </w:p>
    <w:p>
      <w:pPr>
        <w:pStyle w:val="Normal"/>
        <w:rPr/>
      </w:pPr>
      <w:r>
        <w:rPr/>
      </w:r>
    </w:p>
    <w:tbl>
      <w:tblPr>
        <w:tblStyle w:val="afffffc"/>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806"/>
        <w:gridCol w:w="1341"/>
        <w:gridCol w:w="7633"/>
      </w:tblGrid>
      <w:tr>
        <w:trPr>
          <w:tblHeader w:val="true"/>
          <w:trHeight w:val="42"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6"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String Correctness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STD-003-CPP</w:t>
            </w:r>
          </w:p>
        </w:tc>
        <w:tc>
          <w:tcPr>
            <w:tcW w:w="7633" w:type="dxa"/>
            <w:tcBorders>
              <w:top w:val="single" w:sz="8" w:space="0" w:color="000000"/>
              <w:start w:val="single" w:sz="8" w:space="0" w:color="000000"/>
              <w:bottom w:val="single" w:sz="8" w:space="0" w:color="000000"/>
              <w:end w:val="single" w:sz="8" w:space="0" w:color="000000"/>
            </w:tcBorders>
          </w:tcPr>
          <w:p>
            <w:pPr>
              <w:pStyle w:val="Normal"/>
              <w:rPr/>
            </w:pPr>
            <w:r>
              <w:rPr/>
              <w:t>Ensure String Correctness and Null Termination (STR32-C)   C-style strings are null-terminated character arrays, and many standard library functions depend on finding a terminating null byte. Without proper null termination, functions like strlen() and strcpy() read past the intended end of the buffer, potentially exposing sensitive data or causing crashes. SEI CERT rule STR32-C states that null-terminated byte strings passed to standard library functions must be properly null-terminated. Green Pace prohibits unsafe string functions (strcpy, strcat, sprintf) in favor of bounds-checked equivalents.</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copies a string without checking that the destination buffer is large enough and does not guarantee null termination.</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char dest[10]; const char *src = get_user_string();  // May be longer than 9 chars strcpy(dest, src);  // Buffer overflow if strlen(src) &gt;= 10</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Use strncpy and explicitly null-terminate, or use snprintf.</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&lt;string.h&gt; char dest[10]; const char *src = get_user_string(); strncpy(dest, src, sizeof(dest) - 1); dest[sizeof(dest) - 1] = '\0';  // Guarantee null termination // Alternative: snprintf(dest, sizeof(dest), "%s", src);</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b/>
              </w:rPr>
              <w:t>Principles(s):</w:t>
            </w:r>
            <w:r>
              <w:rPr/>
              <w:t xml:space="preserve"> Principle 1 (Validate Input Data): String length is a critical input property that must be validated. Principle 7 (Sanitize Data Sent to Other Systems): Properly null-terminated strings prevent injection of unintended data into subsystem calls.</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5"/>
        <w:gridCol w:w="1341"/>
        <w:gridCol w:w="4021"/>
        <w:gridCol w:w="1808"/>
        <w:gridCol w:w="1805"/>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0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6"/>
        <w:gridCol w:w="1341"/>
        <w:gridCol w:w="4021"/>
        <w:gridCol w:w="3612"/>
      </w:tblGrid>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Coverity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2023.6</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STRING_NULL / BUFFER_SIZE_WARNING</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missing null termination and unsafe string operations.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Clang-Tidy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17.0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bugprone-not-null-terminated-result</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calls to string functions that may leave results without null termination.</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PC-lint Plus</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MISRA C 2012 Rule 21.17</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Flags use of deprecated or unsafe string-handling functions.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cpp:S5813</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Flags use of strcpy, strcat, and sprintf in C/C++ code.</w:t>
            </w:r>
          </w:p>
        </w:tc>
      </w:tr>
    </w:tbl>
    <w:p>
      <w:pPr>
        <w:pStyle w:val="Heading4"/>
        <w:rPr>
          <w:sz w:val="27"/>
          <w:szCs w:val="27"/>
        </w:rPr>
      </w:pPr>
      <w:r>
        <w:rPr>
          <w:sz w:val="27"/>
          <w:szCs w:val="27"/>
        </w:rPr>
      </w:r>
      <w:r>
        <w:br w:type="page"/>
      </w:r>
    </w:p>
    <w:p>
      <w:pPr>
        <w:pStyle w:val="Heading4"/>
        <w:spacing w:before="0" w:after="0"/>
        <w:rPr/>
      </w:pPr>
      <w:bookmarkStart w:id="11" w:name="_Toc52464062"/>
      <w:r>
        <w:rPr/>
        <w:t>Coding Standard 4</w:t>
      </w:r>
      <w:bookmarkEnd w:id="11"/>
    </w:p>
    <w:p>
      <w:pPr>
        <w:pStyle w:val="Normal"/>
        <w:rPr/>
      </w:pPr>
      <w:r>
        <w:rPr/>
      </w:r>
    </w:p>
    <w:tbl>
      <w:tblPr>
        <w:tblStyle w:val="affffff2"/>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806"/>
        <w:gridCol w:w="1341"/>
        <w:gridCol w:w="7633"/>
      </w:tblGrid>
      <w:tr>
        <w:trPr>
          <w:tblHeader w:val="true"/>
          <w:trHeight w:val="42"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6"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SQL Injection</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STD-004-CPP</w:t>
            </w:r>
          </w:p>
        </w:tc>
        <w:tc>
          <w:tcPr>
            <w:tcW w:w="7633" w:type="dxa"/>
            <w:tcBorders>
              <w:top w:val="single" w:sz="8" w:space="0" w:color="000000"/>
              <w:start w:val="single" w:sz="8" w:space="0" w:color="000000"/>
              <w:bottom w:val="single" w:sz="8" w:space="0" w:color="000000"/>
              <w:end w:val="single" w:sz="8" w:space="0" w:color="000000"/>
            </w:tcBorders>
          </w:tcPr>
          <w:p>
            <w:pPr>
              <w:pStyle w:val="Normal"/>
              <w:rPr/>
            </w:pPr>
            <w:r>
              <w:rPr/>
              <w:t>Prevent SQL Injection via Parameterized Queries (IDS00-J / STR02-C)  SQL injection is ranked among the most critical web application vulnerabilities (OWASP Top 10 A03). It occurs when user-controlled data is concatenated directly into an SQL query string, allowing an attacker to alter the query logic, exfiltrate data, or execute stored procedures. SEI CERT rule IDS00-J requires that SQL queries be constructed using parameterized statements rather than string concatenation. Green Pace mandates parameterized queries for all database interactions, with no exceptions.</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 code concatenates a user-supplied username directly into an SQL query string, enabling authentication bypass.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char query[512]; const char *username = get_username(); // Attacker supplies: admin' OR '1'='1 snprintf(query, sizeof(query),          "SELECT * FROM users WHERE username='%s'", username); db_execute(query);  // Returns all rows; authentication bypassed</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Use parameterized queries via the database API to separate data from SQL logic.</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 Using libpq (PostgreSQL C library) const char *paramValues[1]; paramValues[0] = get_username();  // Passed as parameter, never interpolated const char *query = "SELECT * FROM users WHERE username = $1"; PGresult *res = PQexecParams(conn, query,                               1, NULL, paramValues, NULL, NULL, 0); // Username is treated as data, not SQL, regardless of content</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b/>
              </w:rPr>
              <w:t>Principles(s):</w:t>
            </w:r>
            <w:r>
              <w:rPr/>
              <w:t xml:space="preserve"> Principle 1 (Validate Input Data): All user-supplied data going into SQL must be validated and parameterized. Principle 7 (Sanitize Data Sent to Other Systems): SQL databases are external systems; all data must be sanitized before transmission.</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5"/>
        <w:gridCol w:w="1341"/>
        <w:gridCol w:w="4021"/>
        <w:gridCol w:w="1808"/>
        <w:gridCol w:w="1805"/>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0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6"/>
        <w:gridCol w:w="1341"/>
        <w:gridCol w:w="4021"/>
        <w:gridCol w:w="3612"/>
      </w:tblGrid>
      <w:tr>
        <w:trPr>
          <w:tblHeader w:val="true"/>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cpp:S2077 (SQL Injection)</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SQL query strings built by concatenating user-controlled input.</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Coverity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2023.6</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SQL_INJECTION</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Taint-analysis checker tracking user-controlled data flowing into database query strings.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Checkmarx SAST</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2023.4</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SQL_Injection</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Enterprise SAST tool with dedicated SQL injection data-flow detection across C/C++, Java, and Python.</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OWASP ZAP</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2.14</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Active Scan: SQL Injection</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Dynamic application security testing tool that sends crafted payloads to detect SQL injection at runtime.</w:t>
            </w:r>
          </w:p>
        </w:tc>
      </w:tr>
    </w:tbl>
    <w:p>
      <w:pPr>
        <w:pStyle w:val="Heading4"/>
        <w:rPr>
          <w:sz w:val="27"/>
          <w:szCs w:val="27"/>
        </w:rPr>
      </w:pPr>
      <w:r>
        <w:rPr>
          <w:sz w:val="27"/>
          <w:szCs w:val="27"/>
        </w:rPr>
      </w:r>
      <w:r>
        <w:br w:type="page"/>
      </w:r>
    </w:p>
    <w:p>
      <w:pPr>
        <w:pStyle w:val="Heading4"/>
        <w:spacing w:before="0" w:after="0"/>
        <w:rPr/>
      </w:pPr>
      <w:bookmarkStart w:id="12" w:name="_Toc52464063"/>
      <w:r>
        <w:rPr/>
        <w:t>Coding Standard 5</w:t>
      </w:r>
      <w:bookmarkEnd w:id="12"/>
    </w:p>
    <w:p>
      <w:pPr>
        <w:pStyle w:val="Normal"/>
        <w:rPr/>
      </w:pPr>
      <w:r>
        <w:rPr/>
      </w:r>
    </w:p>
    <w:tbl>
      <w:tblPr>
        <w:tblStyle w:val="affffff8"/>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806"/>
        <w:gridCol w:w="1341"/>
        <w:gridCol w:w="7633"/>
      </w:tblGrid>
      <w:tr>
        <w:trPr>
          <w:tblHeader w:val="true"/>
          <w:trHeight w:val="42"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6"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Memory Protection</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STD-005-CPP</w:t>
            </w:r>
          </w:p>
        </w:tc>
        <w:tc>
          <w:tcPr>
            <w:tcW w:w="7633" w:type="dxa"/>
            <w:tcBorders>
              <w:top w:val="single" w:sz="8" w:space="0" w:color="000000"/>
              <w:start w:val="single" w:sz="8" w:space="0" w:color="000000"/>
              <w:bottom w:val="single" w:sz="8" w:space="0" w:color="000000"/>
              <w:end w:val="single" w:sz="8" w:space="0" w:color="000000"/>
            </w:tcBorders>
          </w:tcPr>
          <w:p>
            <w:pPr>
              <w:pStyle w:val="Normal"/>
              <w:rPr/>
            </w:pPr>
            <w:r>
              <w:rPr/>
              <w:t>Prevent Memory Leaks and Use-After-Free (MEM30-C / MEM31-C)  Improper memory management is a top source of critical vulnerabilities in C and C++. Use-after-free bugs allow attackers to reclaim freed memory and control execution; memory leaks degrade availability by exhausting heap space. SEI CERT rules MEM30-C and MEM31-C require that freed memory is never accessed again and that all dynamically allocated memory is freed when no longer needed. Green Pace requires all allocations to have a clear owner responsible for deallocation, and C++ code to prefer RAII and smart pointers over raw new/delete.</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frees a pointer but continues to use it, creating a use-after-free vulnerability.</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&lt;stdlib.h&gt; char *buf = (char*)malloc(64); if (!buf) return ERROR_ALLOC; fill_buffer(buf, 64); free(buf); process(buf);   // Use-after-free: undefined behavior and exploitable</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Set the pointer to NULL immediately after freeing to prevent accidental reuse.</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&lt;stdlib.h&gt; char *buf = (char*)malloc(64); if (!buf) return ERROR_ALLOC; fill_buffer(buf, 64); process_before_free(buf); free(buf); buf = NULL;     // Prevent use-after-free // C++: prefer std::unique_ptr&lt;char[]&gt; buf = std::make_unique&lt;char[]&gt;(64);</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b/>
              </w:rPr>
              <w:t>Principles(s):</w:t>
            </w:r>
            <w:r>
              <w:rPr/>
              <w:t xml:space="preserve"> Principle 8 (Defense in Depth): Nulling freed pointers and using smart pointers adds a layer of defense. Principle 9 (Use Effective Quality Assurance Techniques): Memory sanitizers such as ASan and Valgrind must be used in testing to detect memory errors.</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5"/>
        <w:gridCol w:w="1341"/>
        <w:gridCol w:w="4021"/>
        <w:gridCol w:w="1808"/>
        <w:gridCol w:w="1805"/>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Medium</w:t>
            </w:r>
          </w:p>
        </w:tc>
        <w:tc>
          <w:tcPr>
            <w:tcW w:w="180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6"/>
        <w:gridCol w:w="1341"/>
        <w:gridCol w:w="4021"/>
        <w:gridCol w:w="3612"/>
      </w:tblGrid>
      <w:tr>
        <w:trPr>
          <w:tblHeader w:val="true"/>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 (Memcheck)</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3.22</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use-after-free / memory leak</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Dynamic analysis tool detecting memory errors including use-after-free, leaks, and invalid reads/writes.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AddressSanitizer (ASan)</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LLVM 17</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use-after-free / heap-use-after-free</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Compiler-based runtime instrumentation for detecting memory safety violations with low overhead.</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Coverity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2023.6</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USE_AFTER_FREE / RESOURCE_LEAK</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Static analysis tracking object lifetimes to find use-after-free and leak patterns.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Clang-Tidy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17.0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clang-analyzer-cplusplus.NewDeleteLeaks</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 static analyzer identifying heap allocations that are never freed.</w:t>
            </w:r>
          </w:p>
        </w:tc>
      </w:tr>
    </w:tbl>
    <w:p>
      <w:pPr>
        <w:pStyle w:val="Heading4"/>
        <w:rPr>
          <w:sz w:val="27"/>
          <w:szCs w:val="27"/>
        </w:rPr>
      </w:pPr>
      <w:r>
        <w:rPr>
          <w:sz w:val="27"/>
          <w:szCs w:val="27"/>
        </w:rPr>
      </w:r>
      <w:r>
        <w:br w:type="page"/>
      </w:r>
    </w:p>
    <w:p>
      <w:pPr>
        <w:pStyle w:val="Heading4"/>
        <w:spacing w:before="0" w:after="0"/>
        <w:rPr/>
      </w:pPr>
      <w:bookmarkStart w:id="13" w:name="_Toc52464064"/>
      <w:r>
        <w:rPr/>
        <w:t>Coding Standard 6</w:t>
      </w:r>
      <w:bookmarkEnd w:id="13"/>
    </w:p>
    <w:p>
      <w:pPr>
        <w:pStyle w:val="Normal"/>
        <w:rPr/>
      </w:pPr>
      <w:r>
        <w:rPr/>
      </w:r>
    </w:p>
    <w:tbl>
      <w:tblPr>
        <w:tblStyle w:val="affffffe"/>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806"/>
        <w:gridCol w:w="1341"/>
        <w:gridCol w:w="7633"/>
      </w:tblGrid>
      <w:tr>
        <w:trPr>
          <w:tblHeader w:val="true"/>
          <w:trHeight w:val="42"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6"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Assertions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STD-006-CPP</w:t>
            </w:r>
          </w:p>
        </w:tc>
        <w:tc>
          <w:tcPr>
            <w:tcW w:w="7633" w:type="dxa"/>
            <w:tcBorders>
              <w:top w:val="single" w:sz="8" w:space="0" w:color="000000"/>
              <w:start w:val="single" w:sz="8" w:space="0" w:color="000000"/>
              <w:bottom w:val="single" w:sz="8" w:space="0" w:color="000000"/>
              <w:end w:val="single" w:sz="8" w:space="0" w:color="000000"/>
            </w:tcBorders>
          </w:tcPr>
          <w:p>
            <w:pPr>
              <w:pStyle w:val="Normal"/>
              <w:rPr/>
            </w:pPr>
            <w:r>
              <w:rPr/>
              <w:t>Use Assertions Correctly - Do Not Rely on Them for Security (MSC11-C)  Assertions (assert()) are compiled out in release builds when NDEBUG is defined, meaning any security check implemented only as an assertion provides no protection in production. SEI CERT rule MSC11-C requires that assertions not be the sole security control for validating invariants that must hold in production. Green Pace requires that security-critical checks be implemented as runtime error handling, not assertions, and that assertions be reserved for documenting logical invariants that can never be false in correct code.</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uses assert() as the only guard for a security-critical constraint. In release builds, the assertion is stripped and the unchecked value is used.</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&lt;assert.h&gt; void process_packet(const uint8_t *pkt, int len) {     // Stripped by compiler in release builds (-DNDEBUG)     assert(len &gt; 0 &amp;&amp; len &lt;= MAX_PACKET_SIZE);     // No runtime check remains in production     memcpy(receive_buffer, pkt, (size_t)len);  // Buffer overflow</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Use explicit runtime checks for security-critical constraints; reserve assertions for logical invariants.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&lt;assert.h&gt; void process_packet(const uint8_t *pkt, int len) {     // Runtime check: always present in production     if (len &lt;= 0 || len &gt; MAX_PACKET_SIZE) {         log_error("Invalid packet length: %d", len);         return;     }     assert(pkt != NULL);  // Developer aid: logical invariant     memcpy(receive_buffer, pkt, (size_t)len); }</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b/>
              </w:rPr>
              <w:t>Principles(s):</w:t>
            </w:r>
            <w:r>
              <w:rPr/>
              <w:t xml:space="preserve"> Principle 1 (Validate Input Data): Security-critical input validation must use runtime checks, not assertions. Principle 8 (Defense in Depth): Layering a runtime check under a debug assertion ensures validation survives into production builds.</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5"/>
        <w:gridCol w:w="1341"/>
        <w:gridCol w:w="4021"/>
        <w:gridCol w:w="1808"/>
        <w:gridCol w:w="1805"/>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Medium</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Probable</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0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P2</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6"/>
        <w:gridCol w:w="1341"/>
        <w:gridCol w:w="4021"/>
        <w:gridCol w:w="3612"/>
      </w:tblGrid>
      <w:tr>
        <w:trPr>
          <w:tblHeader w:val="true"/>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Coverity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2023.6</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ASSERT_SIDE_EFFECT / DEADCODE</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assertions with side effects and code paths where assertions are the only guard.</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PC-lint Plus</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MISRA C 2012 Dir 4.7</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Flags error-handling code (including assertions) that does not propagate or handle failures.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cpp:S2699</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checks that lack meaningful runtime validations.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Clang-Tidy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17.0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cert-msc11-c</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CERT-specific checker flagging security-critical logic guarded only by assert().</w:t>
            </w:r>
          </w:p>
        </w:tc>
      </w:tr>
    </w:tbl>
    <w:p>
      <w:pPr>
        <w:pStyle w:val="Heading4"/>
        <w:rPr>
          <w:sz w:val="27"/>
          <w:szCs w:val="27"/>
        </w:rPr>
      </w:pPr>
      <w:r>
        <w:rPr>
          <w:sz w:val="27"/>
          <w:szCs w:val="27"/>
        </w:rPr>
      </w:r>
      <w:r>
        <w:br w:type="page"/>
      </w:r>
    </w:p>
    <w:p>
      <w:pPr>
        <w:pStyle w:val="Heading4"/>
        <w:spacing w:before="0" w:after="0"/>
        <w:rPr/>
      </w:pPr>
      <w:bookmarkStart w:id="14" w:name="_Toc52464065"/>
      <w:r>
        <w:rPr/>
        <w:t>Coding Standard 7</w:t>
      </w:r>
      <w:bookmarkEnd w:id="14"/>
    </w:p>
    <w:p>
      <w:pPr>
        <w:pStyle w:val="Normal"/>
        <w:rPr/>
      </w:pPr>
      <w:r>
        <w:rPr/>
      </w:r>
    </w:p>
    <w:tbl>
      <w:tblPr>
        <w:tblStyle w:val="afffffff4"/>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806"/>
        <w:gridCol w:w="1341"/>
        <w:gridCol w:w="7633"/>
      </w:tblGrid>
      <w:tr>
        <w:trPr>
          <w:tblHeader w:val="true"/>
          <w:trHeight w:val="42"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6"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b/>
              </w:rPr>
            </w:pPr>
            <w:r>
              <w:rPr>
                <w:b/>
              </w:rPr>
              <w:t>Exceptions</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STD-007-CPP</w:t>
            </w:r>
          </w:p>
        </w:tc>
        <w:tc>
          <w:tcPr>
            <w:tcW w:w="7633" w:type="dxa"/>
            <w:tcBorders>
              <w:top w:val="single" w:sz="8" w:space="0" w:color="000000"/>
              <w:start w:val="single" w:sz="8" w:space="0" w:color="000000"/>
              <w:bottom w:val="single" w:sz="8" w:space="0" w:color="000000"/>
              <w:end w:val="single" w:sz="8" w:space="0" w:color="000000"/>
            </w:tcBorders>
          </w:tcPr>
          <w:p>
            <w:pPr>
              <w:pStyle w:val="Normal"/>
              <w:rPr/>
            </w:pPr>
            <w:r>
              <w:rPr/>
              <w:t>Handle Exceptions Safely and Do Not Suppress Them (ERR51-CPP / ERR34-C)  Suppressing or swallowing exceptions hides defects and leaves programs in undefined states. In C++, failing to catch and properly handle exceptions can cause resource leaks, partial transactions, or exposure of sensitive error details. SEI CERT rule ERR51-CPP requires that handlers catch and recover from exceptions, and ERR34-C requires that programs detect and handle errors from C library functions. Green Pace requires that all exceptions be caught at the appropriate level, logged with sufficient detail for forensics, and that error information visible to callers be sanitized to avoid information leakage.</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silently swallows all exceptions, leaving the program state unknown and the error unlogged.</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void process_order(Order &amp;order) {     try {         db.save(order);         payment.charge(order.amount);         // If payment.charge() throws, order is saved but not charged     } catch (...) {         // Exception swallowed: no log, no rollback, undefined state     } }</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Catch specific exceptions, log them, roll back side effects, and re-throw or report appropriately.</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&lt;stdexcept&gt; void process_order(Order &amp;order) {     try {         db.begin_transaction();         db.save(order);         payment.charge(order.amount);         db.commit();     } catch (const PaymentException &amp;e) {         db.rollback();         log_error("Payment failed for order %d: %s", order.id, e.what());         throw;  // Re-throw for caller to handle     } catch (const std::exception &amp;e) {         db.rollback();         log_error("Error processing order %d: %s", order.id, e.what());         throw std::runtime_error("Order processing failed");  // Sanitized     } }</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b/>
              </w:rPr>
              <w:t>Principles(s):</w:t>
            </w:r>
            <w:r>
              <w:rPr/>
              <w:t xml:space="preserve"> Principle 9 (Use Effective Quality Assurance Techniques): Proper exception handling ensures that errors are surfaced and testable. Principle 7 (Sanitize Data Sent to Other Systems): Error messages returned to callers must not expose internal stack traces or system details.</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5"/>
        <w:gridCol w:w="1341"/>
        <w:gridCol w:w="4021"/>
        <w:gridCol w:w="1808"/>
        <w:gridCol w:w="1805"/>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Medium</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Probable</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0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P2</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6"/>
        <w:gridCol w:w="1341"/>
        <w:gridCol w:w="4021"/>
        <w:gridCol w:w="3612"/>
      </w:tblGrid>
      <w:tr>
        <w:trPr>
          <w:tblHeader w:val="true"/>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cpp:S2486 (Swallowed exceptions)</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catch blocks that do not handle or re-throw exceptions, effectively hiding errors.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Coverity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2023.6</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UNCAUGHT_EXCEPT / RESOURCE_LEAK</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Finds exception paths that leave resources unreleased.</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Clang-Tidy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17.0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bugprone-exception-escape</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Warns when an exception can escape a function marked noexcept or a destructor.</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PC-lint Plus</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MISRA C++ 2008 Rule 15-3-2</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Checks that there is a handler for all possible exception types thrown within a try block.</w:t>
            </w:r>
          </w:p>
        </w:tc>
      </w:tr>
    </w:tbl>
    <w:p>
      <w:pPr>
        <w:pStyle w:val="Heading4"/>
        <w:rPr>
          <w:sz w:val="27"/>
          <w:szCs w:val="27"/>
        </w:rPr>
      </w:pPr>
      <w:r>
        <w:rPr>
          <w:sz w:val="27"/>
          <w:szCs w:val="27"/>
        </w:rPr>
      </w:r>
      <w:r>
        <w:br w:type="page"/>
      </w:r>
    </w:p>
    <w:p>
      <w:pPr>
        <w:pStyle w:val="Heading4"/>
        <w:spacing w:before="0" w:after="0"/>
        <w:rPr/>
      </w:pPr>
      <w:bookmarkStart w:id="15" w:name="_Toc52464066"/>
      <w:r>
        <w:rPr/>
        <w:t>Coding Standard 8</w:t>
      </w:r>
      <w:bookmarkEnd w:id="15"/>
    </w:p>
    <w:p>
      <w:pPr>
        <w:pStyle w:val="Normal"/>
        <w:rPr/>
      </w:pPr>
      <w:r>
        <w:rPr/>
      </w:r>
    </w:p>
    <w:tbl>
      <w:tblPr>
        <w:tblStyle w:val="affffffff6"/>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806"/>
        <w:gridCol w:w="1341"/>
        <w:gridCol w:w="7633"/>
      </w:tblGrid>
      <w:tr>
        <w:trPr>
          <w:tblHeader w:val="true"/>
          <w:trHeight w:val="42"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6"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pPr>
            <w:r>
              <w:rPr/>
              <w:t>Concurrency</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STD-008-CPP</w:t>
            </w:r>
          </w:p>
        </w:tc>
        <w:tc>
          <w:tcPr>
            <w:tcW w:w="7633" w:type="dxa"/>
            <w:tcBorders>
              <w:top w:val="single" w:sz="8" w:space="0" w:color="000000"/>
              <w:start w:val="single" w:sz="8" w:space="0" w:color="000000"/>
              <w:bottom w:val="single" w:sz="8" w:space="0" w:color="000000"/>
              <w:end w:val="single" w:sz="8" w:space="0" w:color="000000"/>
            </w:tcBorders>
          </w:tcPr>
          <w:p>
            <w:pPr>
              <w:pStyle w:val="Normal"/>
              <w:rPr/>
            </w:pPr>
            <w:r>
              <w:rPr/>
              <w:t>Prevent Data Races in Multithreaded Code (CON30-C / CON37-C)   Data races occur when two or more threads access the same memory location concurrently with at least one write and no synchronization. Data races produce non-deterministic behavior that can be exploited to corrupt shared state or bypass security checks. SEI CERT rule CON30-C prohibits calling functions with thread-safety issues, and CON37-C requires that synchronization primitives protect all accesses to shared mutable data. Green Pace requires that all shared state in multithreaded code be protected by appropriate synchronization (mutexes, atomic operations, or lock-free data structures where justified).</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increments a shared counter from multiple threads without synchronization, causing a data race.</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&lt;pthread.h&gt; int counter = 0;  // Shared mutable variable  void *increment(void *arg) {     for (int i = 0; i &lt; 100000; i++) {         counter++;  // Data race: read-modify-write is not atomic     }     return NULL; }</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Protect shared state with a mutex or use atomic operations.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&lt;pthread.h&gt; #include &lt;stdatomic.h&gt; atomic_int counter = 0;  // Atomic type: all operations are thread-safe  void *increment(void *arg) {     for (int i = 0; i &lt; 100000; i++) {         atomic_fetch_add(&amp;counter, 1);  // Atomic increment: no data race     }     return NULL; } // C++: std::atomic&lt;int&gt; counter{0}; ++counter;</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b/>
              </w:rPr>
              <w:t>Principles(s):</w:t>
            </w:r>
            <w:r>
              <w:rPr/>
              <w:t xml:space="preserve"> Principle 3 (Architect and Design for Security Policies): Thread-safety must be a design requirement, not an afterthought. Principle 8 (Defense in Depth): Mutexes and atomic types provide independent layers of protection against race conditions.</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5"/>
        <w:gridCol w:w="1341"/>
        <w:gridCol w:w="4021"/>
        <w:gridCol w:w="1808"/>
        <w:gridCol w:w="1805"/>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Probable</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Medium</w:t>
            </w:r>
          </w:p>
        </w:tc>
        <w:tc>
          <w:tcPr>
            <w:tcW w:w="180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6"/>
        <w:gridCol w:w="1341"/>
        <w:gridCol w:w="4021"/>
        <w:gridCol w:w="3612"/>
      </w:tblGrid>
      <w:tr>
        <w:trPr>
          <w:tblHeader w:val="true"/>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ThreadSanitizer (TSan)</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LLVM 17</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data-race / lock-order-inversion</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Compiler-based runtime instrumentation detecting data races and deadlocks dynamically.</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Helgrind (Valgrind)</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3.22</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Possible data race</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Valgrind tool detecting data races and lock-ordering inconsistencies.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Coverity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2023.6</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RACE_CONDITION / LOCK_EVASION</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Static analysis for identifying unsynchronized access to shared variables across threads.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cpp:S5542 (Race condition)</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patterns where shared state is accessed without appropriate locking.</w:t>
            </w:r>
          </w:p>
        </w:tc>
      </w:tr>
    </w:tbl>
    <w:p>
      <w:pPr>
        <w:pStyle w:val="Normal"/>
        <w:rPr/>
      </w:pPr>
      <w:r>
        <w:rPr/>
      </w:r>
      <w:r>
        <w:br w:type="page"/>
      </w:r>
    </w:p>
    <w:p>
      <w:pPr>
        <w:pStyle w:val="Heading4"/>
        <w:spacing w:before="0" w:after="0"/>
        <w:rPr/>
      </w:pPr>
      <w:bookmarkStart w:id="16" w:name="_Toc52464067"/>
      <w:r>
        <w:rPr/>
        <w:t>Coding Standard 9</w:t>
      </w:r>
      <w:bookmarkEnd w:id="16"/>
      <w:r>
        <w:rPr/>
        <w:t xml:space="preserve"> </w:t>
      </w:r>
    </w:p>
    <w:p>
      <w:pPr>
        <w:pStyle w:val="Normal"/>
        <w:rPr/>
      </w:pPr>
      <w:r>
        <w:rPr/>
      </w:r>
    </w:p>
    <w:tbl>
      <w:tblPr>
        <w:tblStyle w:val="affffffff6"/>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806"/>
        <w:gridCol w:w="1341"/>
        <w:gridCol w:w="7633"/>
      </w:tblGrid>
      <w:tr>
        <w:trPr>
          <w:tblHeader w:val="true"/>
          <w:trHeight w:val="42"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6"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pPr>
            <w:r>
              <w:rPr/>
              <w:t>Input Validation</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STD-009-CPP</w:t>
            </w:r>
          </w:p>
        </w:tc>
        <w:tc>
          <w:tcPr>
            <w:tcW w:w="7633" w:type="dxa"/>
            <w:tcBorders>
              <w:top w:val="single" w:sz="8" w:space="0" w:color="000000"/>
              <w:start w:val="single" w:sz="8" w:space="0" w:color="000000"/>
              <w:bottom w:val="single" w:sz="8" w:space="0" w:color="000000"/>
              <w:end w:val="single" w:sz="8" w:space="0" w:color="000000"/>
            </w:tcBorders>
          </w:tcPr>
          <w:p>
            <w:pPr>
              <w:pStyle w:val="Normal"/>
              <w:rPr/>
            </w:pPr>
            <w:r>
              <w:rPr/>
              <w:t>Prevent Path Traversal When Handling File Paths (FIO02-C)  Path traversal vulnerabilities allow attackers to access files outside the intended directory by embedding sequences such as ../ in file paths. If user-supplied input is used directly to construct a file path without canonicalization and validation, an attacker may read or overwrite sensitive files. SEI CERT rule FIO02-C requires that file paths from untrusted sources be canonicalized and validated against an allowlist of approved directories before use. Green Pace mandates canonicalization via realpath() or equivalent before any file operation using user-supplied paths.</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opens a file using a path supplied by the user without validation, enabling directory traversal.</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&lt;stdio.h&gt; void read_file(const char *user_path) {     char full_path[512];     // Attacker supplies: ../../etc/passwd     snprintf(full_path, sizeof(full_path), "/app/data/%s", user_path);     FILE *f = fopen(full_path, "r");  // Opens /etc/passwd     if (f) { serve_file(f); fclose(f); } }</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Canonicalize the path and verify it resides within the intended directory.</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&lt;stdlib.h&gt; #include &lt;string.h&gt; #define BASE_DIR "/app/data" void read_file(const char *user_path) {     char raw_path[512];     char *resolved;     snprintf(raw_path, sizeof(raw_path), "%s/%s", BASE_DIR, user_path);     resolved = realpath(raw_path, NULL);     if (!resolved) { log_error("Invalid path"); return; }     if (strncmp(resolved, BASE_DIR, strlen(BASE_DIR)) != 0) {         log_error("Path traversal attempt: %s", resolved);         free(resolved); return;     }     FILE *f = fopen(resolved, "r");     if (f) { serve_file(f); fclose(f); }     free(resolved); }</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b/>
              </w:rPr>
              <w:t>Principles(s):</w:t>
            </w:r>
            <w:r>
              <w:rPr/>
              <w:t xml:space="preserve"> Principle 1 (Validate Input Data): File paths are data that must be canonicalized and validated before use. Principle 6 (Least Privilege): The file-serving component should have read access only to the /app/data directory, limiting blast radius if traversal succeeds.</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5"/>
        <w:gridCol w:w="1341"/>
        <w:gridCol w:w="4021"/>
        <w:gridCol w:w="1808"/>
        <w:gridCol w:w="1805"/>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Likely</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0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6"/>
        <w:gridCol w:w="1341"/>
        <w:gridCol w:w="4021"/>
        <w:gridCol w:w="3612"/>
      </w:tblGrid>
      <w:tr>
        <w:trPr>
          <w:tblHeader w:val="true"/>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Checkmarx SAST</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2023.4</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Path_Traversal</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Taint analysis tracking user-controlled data flowing into file path construction.</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cpp:S2083 (Path Traversal)</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file paths built from unvalidated external data.</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Coverity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2023.6</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PATH_MANIPULATION</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Identifies file operations using paths derived from untrusted data without sanitization.</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OWASP ZAP</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2.14</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Active Scan: Path Traversal (40016)</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Dynamic scanner sending traversal payloads to detect unprotected file-path handling at runtime.</w:t>
            </w:r>
          </w:p>
        </w:tc>
      </w:tr>
    </w:tbl>
    <w:p>
      <w:pPr>
        <w:pStyle w:val="Normal"/>
        <w:rPr/>
      </w:pPr>
      <w:r>
        <w:rPr/>
      </w:r>
      <w:r>
        <w:br w:type="page"/>
      </w:r>
    </w:p>
    <w:p>
      <w:pPr>
        <w:pStyle w:val="Heading4"/>
        <w:spacing w:before="0" w:after="0"/>
        <w:rPr/>
      </w:pPr>
      <w:bookmarkStart w:id="17" w:name="_Toc52464068"/>
      <w:r>
        <w:rPr/>
        <w:t>Coding Standard 10</w:t>
      </w:r>
      <w:bookmarkEnd w:id="17"/>
    </w:p>
    <w:p>
      <w:pPr>
        <w:pStyle w:val="Normal"/>
        <w:rPr/>
      </w:pPr>
      <w:r>
        <w:rPr/>
      </w:r>
    </w:p>
    <w:tbl>
      <w:tblPr>
        <w:tblStyle w:val="affffffff6"/>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806"/>
        <w:gridCol w:w="1341"/>
        <w:gridCol w:w="7633"/>
      </w:tblGrid>
      <w:tr>
        <w:trPr>
          <w:tblHeader w:val="true"/>
          <w:trHeight w:val="42"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Coding Standard</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Label</w:t>
            </w:r>
          </w:p>
        </w:tc>
        <w:tc>
          <w:tcPr>
            <w:tcW w:w="7633"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Name of Standard</w:t>
            </w:r>
          </w:p>
        </w:tc>
      </w:tr>
      <w:tr>
        <w:trPr>
          <w:trHeight w:val="321" w:hRule="atLeast"/>
        </w:trPr>
        <w:tc>
          <w:tcPr>
            <w:tcW w:w="1806" w:type="dxa"/>
            <w:tcBorders>
              <w:top w:val="single" w:sz="8" w:space="0" w:color="000000"/>
              <w:start w:val="single" w:sz="8" w:space="0" w:color="000000"/>
              <w:bottom w:val="single" w:sz="8" w:space="0" w:color="000000"/>
              <w:end w:val="single" w:sz="8" w:space="0" w:color="000000"/>
            </w:tcBorders>
            <w:shd w:color="auto" w:fill="F3F3F3" w:val="clear"/>
          </w:tcPr>
          <w:p>
            <w:pPr>
              <w:pStyle w:val="Normal"/>
              <w:jc w:val="center"/>
              <w:rPr/>
            </w:pPr>
            <w:r>
              <w:rPr/>
              <w:t>Cryptography</w:t>
            </w:r>
          </w:p>
        </w:tc>
        <w:tc>
          <w:tcPr>
            <w:tcW w:w="1341" w:type="dxa"/>
            <w:tcBorders>
              <w:top w:val="single" w:sz="8" w:space="0" w:color="000000"/>
              <w:start w:val="single" w:sz="8" w:space="0" w:color="000000"/>
              <w:bottom w:val="single" w:sz="8" w:space="0" w:color="000000"/>
              <w:end w:val="single" w:sz="8" w:space="0" w:color="000000"/>
            </w:tcBorders>
          </w:tcPr>
          <w:p>
            <w:pPr>
              <w:pStyle w:val="Normal"/>
              <w:jc w:val="center"/>
              <w:rPr/>
            </w:pPr>
            <w:r>
              <w:rPr/>
              <w:t>STD-010-CPP</w:t>
            </w:r>
          </w:p>
        </w:tc>
        <w:tc>
          <w:tcPr>
            <w:tcW w:w="7633" w:type="dxa"/>
            <w:tcBorders>
              <w:top w:val="single" w:sz="8" w:space="0" w:color="000000"/>
              <w:start w:val="single" w:sz="8" w:space="0" w:color="000000"/>
              <w:bottom w:val="single" w:sz="8" w:space="0" w:color="000000"/>
              <w:end w:val="single" w:sz="8" w:space="0" w:color="000000"/>
            </w:tcBorders>
          </w:tcPr>
          <w:p>
            <w:pPr>
              <w:pStyle w:val="Normal"/>
              <w:rPr/>
            </w:pPr>
            <w:r>
              <w:rPr/>
              <w:t>Use Cryptographically Secure Random Number Generation (MSC30-C / MSC51-CPP) The C standard library rand() function and similar pseudo-random number generators are not cryptographically secure: their output is predictable if the seed is known or guessed. Using them to generate cryptographic keys, tokens, session IDs, or nonces creates vulnerabilities that allow attackers to predict secret values. SEI CERT rule MSC30-C prohibits the use of rand() for security-sensitive randomness, and MSC51-CPP prohibits seeding RNGs with small or guessable seeds. Green Pace requires all security-sensitive randomness to be derived from OS-level cryptographic random sources.</w:t>
            </w:r>
          </w:p>
        </w:tc>
      </w:tr>
    </w:tbl>
    <w:p>
      <w:pPr>
        <w:pStyle w:val="Normal"/>
        <w:rPr>
          <w:b/>
        </w:rPr>
      </w:pPr>
      <w:r>
        <w:rPr>
          <w:b/>
        </w:rPr>
      </w:r>
    </w:p>
    <w:tbl>
      <w:tblPr>
        <w:tblStyle w:val="affffffff7"/>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269" w:hRule="atLeast"/>
        </w:trPr>
        <w:tc>
          <w:tcPr>
            <w:tcW w:w="10800" w:type="dxa"/>
            <w:tcBorders>
              <w:bottom w:val="single" w:sz="4" w:space="0" w:color="000000"/>
            </w:tcBorders>
            <w:shd w:color="auto" w:fill="auto" w:val="clear"/>
          </w:tcPr>
          <w:p>
            <w:pPr>
              <w:pStyle w:val="Normal"/>
              <w:rPr/>
            </w:pPr>
            <w:r>
              <w:rPr>
                <w:b/>
                <w:sz w:val="24"/>
                <w:szCs w:val="24"/>
              </w:rPr>
              <w:t>Noncompliant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The following code generates a session token using rand(), which is seeded with time() and therefore predictable.</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&lt;stdlib.h&gt; #include &lt;time.h&gt; char *generate_token() {     srand((unsigned)time(NULL));  // Seed is current epoch second: guessable     char *token = malloc(17);     for (int i = 0; i &lt; 16; i++)         token[i] = "0123456789abcdef"[rand() % 16];  // Not secure     token[16] = '\0';     return token; }</w:t>
            </w:r>
          </w:p>
        </w:tc>
      </w:tr>
    </w:tbl>
    <w:p>
      <w:pPr>
        <w:pStyle w:val="Normal"/>
        <w:rPr>
          <w:b/>
        </w:rPr>
      </w:pPr>
      <w:r>
        <w:rPr>
          <w:b/>
        </w:rPr>
      </w:r>
    </w:p>
    <w:tbl>
      <w:tblPr>
        <w:tblStyle w:val="affffffff8"/>
        <w:tblW w:w="10800" w:type="dxa"/>
        <w:jc w:val="start"/>
        <w:tblInd w:w="100" w:type="dxa"/>
        <w:tblLayout w:type="fixed"/>
        <w:tblCellMar>
          <w:top w:w="100" w:type="dxa"/>
          <w:start w:w="100" w:type="dxa"/>
          <w:bottom w:w="100" w:type="dxa"/>
          <w:end w:w="100" w:type="dxa"/>
        </w:tblCellMar>
        <w:tblLook w:firstRow="1" w:noVBand="1" w:lastRow="0" w:firstColumn="1" w:lastColumn="0" w:noHBand="1" w:val="06a0"/>
      </w:tblPr>
      <w:tblGrid>
        <w:gridCol w:w="10800"/>
      </w:tblGrid>
      <w:tr>
        <w:trPr>
          <w:tblHeader w:val="true"/>
          <w:trHeight w:val="89" w:hRule="atLeast"/>
        </w:trPr>
        <w:tc>
          <w:tcPr>
            <w:tcW w:w="10800" w:type="dxa"/>
            <w:tcBorders>
              <w:bottom w:val="single" w:sz="4" w:space="0" w:color="000000"/>
            </w:tcBorders>
            <w:shd w:color="auto" w:fill="auto" w:val="clear"/>
          </w:tcPr>
          <w:p>
            <w:pPr>
              <w:pStyle w:val="Normal"/>
              <w:rPr/>
            </w:pPr>
            <w:r>
              <w:rPr>
                <w:b/>
                <w:sz w:val="24"/>
                <w:szCs w:val="24"/>
              </w:rPr>
              <w:t>Compliant Code</w:t>
            </w:r>
          </w:p>
        </w:tc>
      </w:tr>
      <w:tr>
        <w:trPr>
          <w:trHeight w:val="460" w:hRule="atLeast"/>
        </w:trPr>
        <w:tc>
          <w:tcPr>
            <w:tcW w:w="10800" w:type="dxa"/>
            <w:tcBorders>
              <w:top w:val="single" w:sz="4" w:space="0" w:color="000000"/>
              <w:start w:val="single" w:sz="8" w:space="0" w:color="000000"/>
              <w:bottom w:val="single" w:sz="8" w:space="0" w:color="000000"/>
              <w:end w:val="single" w:sz="8" w:space="0" w:color="000000"/>
            </w:tcBorders>
            <w:shd w:color="auto" w:fill="EFEFEF" w:val="clear"/>
          </w:tcPr>
          <w:p>
            <w:pPr>
              <w:pStyle w:val="Normal"/>
              <w:rPr/>
            </w:pPr>
            <w:r>
              <w:rPr/>
              <w:t>Use the OS cryptographic random source (getrandom() on Linux, BCryptGenRandom on Windows).</w:t>
            </w:r>
          </w:p>
        </w:tc>
      </w:tr>
      <w:tr>
        <w:trPr>
          <w:trHeight w:val="460" w:hRule="atLeast"/>
        </w:trPr>
        <w:tc>
          <w:tcPr>
            <w:tcW w:w="10800" w:type="dxa"/>
            <w:tcBorders>
              <w:top w:val="single" w:sz="8" w:space="0" w:color="000000"/>
              <w:start w:val="single" w:sz="8" w:space="0" w:color="000000"/>
              <w:bottom w:val="single" w:sz="8" w:space="0" w:color="000000"/>
              <w:end w:val="single" w:sz="8" w:space="0" w:color="000000"/>
            </w:tcBorders>
          </w:tcPr>
          <w:p>
            <w:pPr>
              <w:pStyle w:val="Normal"/>
              <w:rPr/>
            </w:pPr>
            <w:r>
              <w:rPr/>
              <w:t>#include &lt;sys/random.h&gt;  // Linux 3.17+ getrandom() #include &lt;stdint.h&gt; char *generate_token() {     uint8_t raw[16];     if (getrandom(raw, sizeof(raw), 0) != sizeof(raw)) {         log_error("getrandom() failed");         return NULL;     }     char *token = malloc(33);     for (int i = 0; i &lt; 16; i++)         sprintf(token + i * 2, "%02x", raw[i]);     token[32] = '\0';     return token;     // C++: use std::random_device or OpenSSL RAND_bytes() }</w:t>
            </w:r>
          </w:p>
        </w:tc>
      </w:tr>
    </w:tbl>
    <w:p>
      <w:pPr>
        <w:pStyle w:val="Normal"/>
        <w:rPr>
          <w:b/>
        </w:rPr>
      </w:pPr>
      <w:r>
        <w:rPr>
          <w:b/>
        </w:rPr>
      </w:r>
    </w:p>
    <w:p>
      <w:pPr>
        <w:pStyle w:val="Normal"/>
        <w:rPr>
          <w:b/>
        </w:rPr>
      </w:pPr>
      <w:r>
        <w:rPr>
          <w:b/>
        </w:rPr>
        <w:t>Note: Stop here for the milestone. Complete this section for Project One in Module Six.</w:t>
      </w:r>
    </w:p>
    <w:tbl>
      <w:tblPr>
        <w:tblStyle w:val="affffffff9"/>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0780"/>
      </w:tblGrid>
      <w:tr>
        <w:trPr>
          <w:tblHeader w:val="true"/>
        </w:trPr>
        <w:tc>
          <w:tcPr>
            <w:tcW w:w="10780" w:type="dxa"/>
            <w:tcBorders>
              <w:top w:val="single" w:sz="8" w:space="0" w:color="000000"/>
              <w:start w:val="single" w:sz="8" w:space="0" w:color="000000"/>
              <w:bottom w:val="single" w:sz="8" w:space="0" w:color="000000"/>
              <w:end w:val="single" w:sz="8" w:space="0" w:color="000000"/>
            </w:tcBorders>
            <w:shd w:color="auto" w:fill="auto" w:val="clear"/>
          </w:tcPr>
          <w:p>
            <w:pPr>
              <w:pStyle w:val="Normal"/>
              <w:pBdr/>
              <w:rPr/>
            </w:pPr>
            <w:r>
              <w:rPr>
                <w:b/>
              </w:rPr>
              <w:t>Principles(s):</w:t>
            </w:r>
            <w:r>
              <w:rPr/>
              <w:t xml:space="preserve"> Principle 3 (Architect and Design for Security Policies): Cryptographic requirements must be identified during design so that secure RNG APIs are selected from the outset. Principle 10 (Adopt a Secure Coding Standard): The SEI CERT standard explicitly prohibits rand() for security-sensitive purposes.</w:t>
            </w:r>
          </w:p>
        </w:tc>
      </w:tr>
    </w:tbl>
    <w:p>
      <w:pPr>
        <w:pStyle w:val="Normal"/>
        <w:rPr>
          <w:b/>
        </w:rPr>
      </w:pPr>
      <w:r>
        <w:rPr>
          <w:b/>
        </w:rPr>
      </w:r>
    </w:p>
    <w:p>
      <w:pPr>
        <w:pStyle w:val="Normal"/>
        <w:rPr>
          <w:b/>
        </w:rPr>
      </w:pPr>
      <w:r>
        <w:rPr>
          <w:b/>
        </w:rPr>
        <w:t>Threat Level</w:t>
      </w:r>
    </w:p>
    <w:tbl>
      <w:tblPr>
        <w:tblStyle w:val="affffffffa"/>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5"/>
        <w:gridCol w:w="1341"/>
        <w:gridCol w:w="4021"/>
        <w:gridCol w:w="1808"/>
        <w:gridCol w:w="1805"/>
      </w:tblGrid>
      <w:tr>
        <w:trPr>
          <w:tblHeader w:val="true"/>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Severity</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Likelihood</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Remediation Cost</w:t>
            </w:r>
          </w:p>
        </w:tc>
        <w:tc>
          <w:tcPr>
            <w:tcW w:w="1808"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Priority</w:t>
            </w:r>
          </w:p>
        </w:tc>
        <w:tc>
          <w:tcPr>
            <w:tcW w:w="1805"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Level</w:t>
            </w:r>
          </w:p>
        </w:tc>
      </w:tr>
      <w:tr>
        <w:trPr>
          <w:trHeight w:val="460" w:hRule="atLeast"/>
        </w:trPr>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High</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Probable</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Low</w:t>
            </w:r>
          </w:p>
        </w:tc>
        <w:tc>
          <w:tcPr>
            <w:tcW w:w="1808"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P1</w:t>
            </w:r>
          </w:p>
        </w:tc>
        <w:tc>
          <w:tcPr>
            <w:tcW w:w="1805"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w:t>
            </w:r>
          </w:p>
        </w:tc>
      </w:tr>
    </w:tbl>
    <w:p>
      <w:pPr>
        <w:pStyle w:val="Normal"/>
        <w:rPr>
          <w:b/>
        </w:rPr>
      </w:pPr>
      <w:r>
        <w:rPr>
          <w:b/>
        </w:rPr>
      </w:r>
    </w:p>
    <w:p>
      <w:pPr>
        <w:pStyle w:val="Normal"/>
        <w:rPr>
          <w:b/>
        </w:rPr>
      </w:pPr>
      <w:r>
        <w:rPr>
          <w:b/>
        </w:rPr>
        <w:t>Automation</w:t>
      </w:r>
    </w:p>
    <w:tbl>
      <w:tblPr>
        <w:tblStyle w:val="affffffffb"/>
        <w:tblW w:w="10780" w:type="dxa"/>
        <w:jc w:val="start"/>
        <w:tblInd w:w="98" w:type="dxa"/>
        <w:tblLayout w:type="fixed"/>
        <w:tblCellMar>
          <w:top w:w="0" w:type="dxa"/>
          <w:start w:w="108" w:type="dxa"/>
          <w:bottom w:w="0" w:type="dxa"/>
          <w:end w:w="108" w:type="dxa"/>
        </w:tblCellMar>
        <w:tblLook w:firstRow="1" w:noVBand="1" w:lastRow="0" w:firstColumn="1" w:lastColumn="0" w:noHBand="1" w:val="06a0"/>
      </w:tblPr>
      <w:tblGrid>
        <w:gridCol w:w="1806"/>
        <w:gridCol w:w="1341"/>
        <w:gridCol w:w="4021"/>
        <w:gridCol w:w="3612"/>
      </w:tblGrid>
      <w:tr>
        <w:trPr>
          <w:tblHeader w:val="true"/>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Tool</w:t>
            </w:r>
          </w:p>
        </w:tc>
        <w:tc>
          <w:tcPr>
            <w:tcW w:w="134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Version</w:t>
            </w:r>
          </w:p>
        </w:tc>
        <w:tc>
          <w:tcPr>
            <w:tcW w:w="4021"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Checker</w:t>
            </w:r>
          </w:p>
        </w:tc>
        <w:tc>
          <w:tcPr>
            <w:tcW w:w="3612" w:type="dxa"/>
            <w:tcBorders>
              <w:top w:val="single" w:sz="8" w:space="0" w:color="000000"/>
              <w:start w:val="single" w:sz="8" w:space="0" w:color="000000"/>
              <w:bottom w:val="single" w:sz="8" w:space="0" w:color="000000"/>
              <w:end w:val="single" w:sz="8" w:space="0" w:color="000000"/>
            </w:tcBorders>
            <w:shd w:color="auto" w:fill="D9D9D9" w:val="clear"/>
            <w:vAlign w:val="center"/>
          </w:tcPr>
          <w:p>
            <w:pPr>
              <w:pStyle w:val="Normal"/>
              <w:jc w:val="center"/>
              <w:rPr>
                <w:b/>
                <w:sz w:val="24"/>
                <w:szCs w:val="24"/>
              </w:rPr>
            </w:pPr>
            <w:r>
              <w:rPr>
                <w:b/>
                <w:sz w:val="24"/>
                <w:szCs w:val="24"/>
              </w:rPr>
              <w:t>Description Tool</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Coverity</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2023.6</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INSECURE_RANDOM</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Flags use of rand() or other non-cryptographic RNG functions in security-sensitive contexts.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SonarQube</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10.3</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cpp:S2245 (Insecure random)</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Detects calls to predictable pseudo-random number generators in credential or token handling code.</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Semgrep</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1.50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c.lang.security.insecure-use-of-rand</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Open-source SAST rule flagging rand() usage and suggesting cryptographic alternatives.</w:t>
            </w:r>
          </w:p>
        </w:tc>
      </w:tr>
      <w:tr>
        <w:trPr>
          <w:trHeight w:val="460" w:hRule="atLeast"/>
        </w:trPr>
        <w:tc>
          <w:tcPr>
            <w:tcW w:w="1806"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PC-lint Plus</w:t>
            </w:r>
          </w:p>
        </w:tc>
        <w:tc>
          <w:tcPr>
            <w:tcW w:w="134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2.0</w:t>
            </w:r>
          </w:p>
        </w:tc>
        <w:tc>
          <w:tcPr>
            <w:tcW w:w="4021"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u w:val="single"/>
              </w:rPr>
            </w:pPr>
            <w:r>
              <w:rPr/>
              <w:t>CERT MSC30-C</w:t>
            </w:r>
          </w:p>
        </w:tc>
        <w:tc>
          <w:tcPr>
            <w:tcW w:w="3612" w:type="dxa"/>
            <w:tcBorders>
              <w:top w:val="single" w:sz="8" w:space="0" w:color="000000"/>
              <w:start w:val="single" w:sz="8" w:space="0" w:color="000000"/>
              <w:bottom w:val="single" w:sz="8" w:space="0" w:color="000000"/>
              <w:end w:val="single" w:sz="8" w:space="0" w:color="000000"/>
            </w:tcBorders>
            <w:shd w:color="auto" w:fill="auto" w:val="clear"/>
          </w:tcPr>
          <w:p>
            <w:pPr>
              <w:pStyle w:val="Normal"/>
              <w:jc w:val="center"/>
              <w:rPr/>
            </w:pPr>
            <w:r>
              <w:rPr/>
              <w:t>CERT-aligned check prohibiting use of rand() for security-sensitive random number generation.</w:t>
            </w:r>
          </w:p>
        </w:tc>
      </w:tr>
    </w:tbl>
    <w:p>
      <w:pPr>
        <w:pStyle w:val="Normal"/>
        <w:rPr/>
      </w:pPr>
      <w:r>
        <w:rPr/>
      </w:r>
      <w:r>
        <w:br w:type="page"/>
      </w:r>
    </w:p>
    <w:p>
      <w:pPr>
        <w:pStyle w:val="Heading3"/>
        <w:spacing w:before="0" w:after="0"/>
        <w:contextualSpacing/>
        <w:rPr/>
      </w:pPr>
      <w:bookmarkStart w:id="18" w:name="_Toc52464069"/>
      <w:r>
        <w:rPr/>
        <w:t>Defense-in-Depth Illustration</w:t>
      </w:r>
      <w:bookmarkEnd w:id="18"/>
    </w:p>
    <w:p>
      <w:pPr>
        <w:pStyle w:val="Normal"/>
        <w:rPr/>
      </w:pPr>
      <w:r>
        <w:rPr/>
        <w:t>This illustration provides a visual representation of the defense-in-depth best practice of layered security.</w:t>
      </w:r>
    </w:p>
    <w:p>
      <w:pPr>
        <w:pStyle w:val="Normal"/>
        <w:rPr/>
      </w:pPr>
      <w:r>
        <w:rPr/>
      </w:r>
    </w:p>
    <w:p>
      <w:pPr>
        <w:pStyle w:val="Normal"/>
        <w:jc w:val="center"/>
        <w:rPr/>
      </w:pPr>
      <w:r>
        <w:rPr/>
        <w:drawing>
          <wp:inline distT="0" distB="0" distL="0" distR="0">
            <wp:extent cx="5825490" cy="3290570"/>
            <wp:effectExtent l="0" t="0" r="0" b="0"/>
            <wp:docPr id="2"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a:picLocks noChangeAspect="1" noChangeArrowheads="1"/>
                    </pic:cNvPicPr>
                  </pic:nvPicPr>
                  <pic:blipFill>
                    <a:blip r:embed="rId4"/>
                    <a:stretch>
                      <a:fillRect/>
                    </a:stretch>
                  </pic:blipFill>
                  <pic:spPr bwMode="auto">
                    <a:xfrm>
                      <a:off x="0" y="0"/>
                      <a:ext cx="5825490" cy="3290570"/>
                    </a:xfrm>
                    <a:prstGeom prst="rect">
                      <a:avLst/>
                    </a:prstGeom>
                    <a:noFill/>
                  </pic:spPr>
                </pic:pic>
              </a:graphicData>
            </a:graphic>
          </wp:inline>
        </w:drawing>
      </w:r>
    </w:p>
    <w:p>
      <w:pPr>
        <w:pStyle w:val="Normal"/>
        <w:rPr/>
      </w:pPr>
      <w:r>
        <w:rPr/>
      </w:r>
    </w:p>
    <w:p>
      <w:pPr>
        <w:pStyle w:val="Heading2"/>
        <w:rPr/>
      </w:pPr>
      <w:bookmarkStart w:id="19" w:name="_Toc52464070"/>
      <w:r>
        <w:rPr/>
        <w:t>Project One</w:t>
      </w:r>
      <w:bookmarkEnd w:id="19"/>
    </w:p>
    <w:p>
      <w:pPr>
        <w:pStyle w:val="Normal"/>
        <w:rPr>
          <w:sz w:val="22"/>
          <w:szCs w:val="22"/>
        </w:rPr>
      </w:pPr>
      <w:r>
        <w:rPr>
          <w:sz w:val="22"/>
          <w:szCs w:val="22"/>
        </w:rPr>
        <w:t>There are seven steps outlined below that align with the elements you will be graded on in the accompanying rubric. When you complete these steps, you will have finished the security policy.</w:t>
      </w:r>
    </w:p>
    <w:p>
      <w:pPr>
        <w:pStyle w:val="Normal"/>
        <w:rPr>
          <w:sz w:val="22"/>
          <w:szCs w:val="22"/>
        </w:rPr>
      </w:pPr>
      <w:r>
        <w:rPr>
          <w:sz w:val="22"/>
          <w:szCs w:val="22"/>
        </w:rPr>
      </w:r>
    </w:p>
    <w:p>
      <w:pPr>
        <w:pStyle w:val="Heading3"/>
        <w:rPr/>
      </w:pPr>
      <w:bookmarkStart w:id="20" w:name="_Toc52464071"/>
      <w:r>
        <w:rPr/>
        <w:t>Revise the C/C++ Standards</w:t>
      </w:r>
      <w:bookmarkEnd w:id="20"/>
    </w:p>
    <w:p>
      <w:pPr>
        <w:pStyle w:val="Normal"/>
        <w:ind w:star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pPr>
        <w:pStyle w:val="Normal"/>
        <w:ind w:start="720"/>
        <w:rPr>
          <w:sz w:val="22"/>
          <w:szCs w:val="22"/>
        </w:rPr>
      </w:pPr>
      <w:r>
        <w:rPr>
          <w:sz w:val="22"/>
          <w:szCs w:val="22"/>
        </w:rPr>
      </w:r>
    </w:p>
    <w:p>
      <w:pPr>
        <w:pStyle w:val="Heading3"/>
        <w:rPr/>
      </w:pPr>
      <w:bookmarkStart w:id="21" w:name="_Toc52464072"/>
      <w:r>
        <w:rPr/>
        <w:t>Risk Assessment</w:t>
      </w:r>
      <w:bookmarkEnd w:id="21"/>
      <w:r>
        <w:rPr/>
        <w:t xml:space="preserve"> </w:t>
      </w:r>
    </w:p>
    <w:p>
      <w:pPr>
        <w:pStyle w:val="Normal"/>
        <w:ind w:star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pPr>
        <w:pStyle w:val="Normal"/>
        <w:ind w:start="720"/>
        <w:rPr>
          <w:sz w:val="22"/>
          <w:szCs w:val="22"/>
        </w:rPr>
      </w:pPr>
      <w:r>
        <w:rPr>
          <w:sz w:val="22"/>
          <w:szCs w:val="22"/>
        </w:rPr>
      </w:r>
    </w:p>
    <w:p>
      <w:pPr>
        <w:pStyle w:val="Heading3"/>
        <w:rPr/>
      </w:pPr>
      <w:bookmarkStart w:id="22" w:name="_Toc52464073"/>
      <w:r>
        <w:rPr/>
        <w:t>Automated Detection</w:t>
      </w:r>
      <w:bookmarkEnd w:id="22"/>
    </w:p>
    <w:p>
      <w:pPr>
        <w:pStyle w:val="Normal"/>
        <w:ind w:star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pPr>
        <w:pStyle w:val="Normal"/>
        <w:ind w:start="720"/>
        <w:rPr/>
      </w:pPr>
      <w:r>
        <w:rPr/>
      </w:r>
    </w:p>
    <w:p>
      <w:pPr>
        <w:pStyle w:val="Heading3"/>
        <w:rPr/>
      </w:pPr>
      <w:bookmarkStart w:id="23" w:name="_Toc52464074"/>
      <w:r>
        <w:rPr/>
        <w:t>Automation</w:t>
      </w:r>
      <w:bookmarkEnd w:id="23"/>
    </w:p>
    <w:p>
      <w:pPr>
        <w:pStyle w:val="Normal"/>
        <w:ind w:start="720"/>
        <w:rPr>
          <w:sz w:val="22"/>
          <w:szCs w:val="22"/>
        </w:rPr>
      </w:pPr>
      <w:r>
        <w:rPr>
          <w:sz w:val="22"/>
          <w:szCs w:val="22"/>
        </w:rPr>
        <w:t>Provide a written explanation using the image provided.</w:t>
      </w:r>
    </w:p>
    <w:p>
      <w:pPr>
        <w:pStyle w:val="Normal"/>
        <w:ind w:start="720"/>
        <w:jc w:val="center"/>
        <w:rPr/>
      </w:pPr>
      <w:r>
        <w:rPr/>
        <w:drawing>
          <wp:inline distT="0" distB="0" distL="0" distR="0">
            <wp:extent cx="4232275" cy="2138680"/>
            <wp:effectExtent l="0" t="0" r="0" b="0"/>
            <wp:docPr id="3"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a:picLocks noChangeAspect="1" noChangeArrowheads="1"/>
                    </pic:cNvPicPr>
                  </pic:nvPicPr>
                  <pic:blipFill>
                    <a:blip r:embed="rId5"/>
                    <a:stretch>
                      <a:fillRect/>
                    </a:stretch>
                  </pic:blipFill>
                  <pic:spPr bwMode="auto">
                    <a:xfrm>
                      <a:off x="0" y="0"/>
                      <a:ext cx="4232275" cy="2138680"/>
                    </a:xfrm>
                    <a:prstGeom prst="rect">
                      <a:avLst/>
                    </a:prstGeom>
                    <a:noFill/>
                  </pic:spPr>
                </pic:pic>
              </a:graphicData>
            </a:graphic>
          </wp:inline>
        </w:drawing>
      </w:r>
    </w:p>
    <w:p>
      <w:pPr>
        <w:pStyle w:val="Normal"/>
        <w:ind w:start="720"/>
        <w:rPr/>
      </w:pPr>
      <w:r>
        <w:rPr/>
      </w:r>
    </w:p>
    <w:p>
      <w:pPr>
        <w:pStyle w:val="Normal"/>
        <w:ind w:start="720"/>
        <w:rPr/>
      </w:pPr>
      <w:r>
        <w:rP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pPr>
        <w:pStyle w:val="Normal"/>
        <w:ind w:start="720"/>
        <w:rPr/>
      </w:pPr>
      <w:r>
        <w:rPr/>
      </w:r>
    </w:p>
    <w:p>
      <w:pPr>
        <w:pStyle w:val="Normal"/>
        <w:ind w:start="720"/>
        <w:rPr/>
      </w:pPr>
      <w:r>
        <w:rPr/>
        <w:t>Green Pace will integrate automated security tooling throughout the DevSecOps pipeline. During the Create phase, developers use IDE security plugins such as SonarLint to receive real-time feedback on violations of the standards defined in this policy before code is committed. At the Verify stage, SAST tools (SonarQube, Coverity, Clang-Tidy) automatically analyze every pull request, enforcing all ten coding standards and blocking merges when high or critical findings are present. SCA (Software Composition Analysis) via OWASP Dependency-Check ensures that third-party C/C++ libraries do not introduce known vulnerable dependencies.  In the Pre-Production phase, input fuzzing (AFL++, libFuzzer) and dynamic analysis (AddressSanitizer, ThreadSanitizer, Valgrind) target the memory protection, concurrency, and input validation standards (STD-005, STD-008, STD-009). DAST via OWASP ZAP validates SQL injection and path-traversal standards (STD-004, STD-009) against deployed test environments. At the Release stage, software signing and integrity checks confirm that artifacts have not been tampered with. In the Detect and Respond phases, RASP and WAF rules enforce the SQL injection and input validation policies (STD-004, STD-001) in production. All tool findings are fed into the Security Technical Debt backlog in the Adapt phase, ensuring continuous improvement of the standards and automation coverage over time.</w:t>
      </w:r>
    </w:p>
    <w:p>
      <w:pPr>
        <w:pStyle w:val="Normal"/>
        <w:ind w:start="720"/>
        <w:rPr/>
      </w:pPr>
      <w:r>
        <w:rPr/>
      </w:r>
    </w:p>
    <w:p>
      <w:pPr>
        <w:pStyle w:val="Heading3"/>
        <w:rPr/>
      </w:pPr>
      <w:bookmarkStart w:id="24" w:name="_Toc52464075"/>
      <w:r>
        <w:rPr/>
        <w:t>Summary of Risk Assessments</w:t>
      </w:r>
      <w:bookmarkEnd w:id="24"/>
      <w:r>
        <w:rPr/>
        <w:t xml:space="preserve"> </w:t>
      </w:r>
    </w:p>
    <w:p>
      <w:pPr>
        <w:pStyle w:val="Normal"/>
        <w:ind w:start="720"/>
        <w:rPr/>
      </w:pPr>
      <w:r>
        <w:rPr/>
        <w:t>Consolidate all risk assessments into one table including both coding and systems standards, ordered by standard number.</w:t>
      </w:r>
    </w:p>
    <w:p>
      <w:pPr>
        <w:pStyle w:val="Normal"/>
        <w:ind w:start="720"/>
        <w:rPr>
          <w:b/>
          <w:sz w:val="26"/>
          <w:szCs w:val="26"/>
        </w:rPr>
      </w:pPr>
      <w:r>
        <w:rPr>
          <w:b/>
          <w:sz w:val="26"/>
          <w:szCs w:val="26"/>
        </w:rPr>
      </w:r>
    </w:p>
    <w:tbl>
      <w:tblPr>
        <w:tblStyle w:val="affffffffc"/>
        <w:tblW w:w="10790" w:type="dxa"/>
        <w:jc w:val="center"/>
        <w:tblInd w:w="0" w:type="dxa"/>
        <w:tblLayout w:type="fixed"/>
        <w:tblCellMar>
          <w:top w:w="0" w:type="dxa"/>
          <w:start w:w="108" w:type="dxa"/>
          <w:bottom w:w="0" w:type="dxa"/>
          <w:end w:w="108" w:type="dxa"/>
        </w:tblCellMar>
        <w:tblLook w:firstRow="1" w:noVBand="1" w:lastRow="0" w:firstColumn="1" w:lastColumn="0" w:noHBand="0" w:val="04a0"/>
      </w:tblPr>
      <w:tblGrid>
        <w:gridCol w:w="1429"/>
        <w:gridCol w:w="1434"/>
        <w:gridCol w:w="1350"/>
        <w:gridCol w:w="1856"/>
        <w:gridCol w:w="2040"/>
        <w:gridCol w:w="2681"/>
      </w:tblGrid>
      <w:tr>
        <w:trPr>
          <w:tblHeader w:val="true"/>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429" w:type="dxa"/>
            <w:tcBorders>
              <w:top w:val="single" w:sz="4" w:space="0" w:color="C9C9C9"/>
              <w:start w:val="single" w:sz="4" w:space="0" w:color="C9C9C9"/>
              <w:bottom w:val="single" w:sz="4" w:space="0" w:color="A5A5A5"/>
              <w:end w:val="single" w:sz="4" w:space="0" w:color="C9C9C9"/>
            </w:tcBorders>
            <w:shd w:color="auto" w:fill="D9D9D9" w:val="clear"/>
          </w:tcPr>
          <w:p>
            <w:pPr>
              <w:pStyle w:val="Normal"/>
              <w:jc w:val="center"/>
              <w:rPr>
                <w:color w:val="000000"/>
              </w:rPr>
            </w:pPr>
            <w:r>
              <w:rPr>
                <w:color w:val="000000"/>
              </w:rPr>
              <w:t>Rule</w:t>
            </w:r>
          </w:p>
        </w:tc>
        <w:tc>
          <w:tcPr>
            <w:tcW w:w="1434"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50"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0"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1" w:type="dxa"/>
            <w:tcBorders>
              <w:top w:val="single" w:sz="4" w:space="0" w:color="C9C9C9"/>
              <w:start w:val="single" w:sz="4" w:space="0" w:color="C9C9C9"/>
              <w:bottom w:val="single" w:sz="4" w:space="0" w:color="C9C9C9"/>
              <w:end w:val="single" w:sz="4" w:space="0" w:color="C9C9C9"/>
            </w:tcBorders>
            <w:shd w:color="auto" w:fill="D9D9D9" w:val="clear"/>
          </w:tcPr>
          <w:p>
            <w:pPr>
              <w:pStyle w:val="Normal"/>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STD-001-CPP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Unlikely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2</w:t>
            </w:r>
          </w:p>
        </w:tc>
      </w:tr>
      <w:tr>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STD-002-CPP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P1</w:t>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1</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STD-003-CPP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P1</w:t>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1</w:t>
            </w:r>
          </w:p>
        </w:tc>
      </w:tr>
      <w:tr>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STD-004-CPP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P1</w:t>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1</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STD-005-CPP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P1</w:t>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1</w:t>
            </w:r>
          </w:p>
        </w:tc>
      </w:tr>
      <w:tr>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STD-006-CPP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Medium</w:t>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Probable</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P2</w:t>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2</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STD-007-CPP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Medium</w:t>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Probable</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P2</w:t>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2</w:t>
            </w:r>
          </w:p>
        </w:tc>
      </w:tr>
      <w:tr>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STD-008-CPP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Probable</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Medium</w:t>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P1</w:t>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1</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STD-009-CPP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High</w:t>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Likely</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Low</w:t>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P1</w:t>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1</w:t>
            </w:r>
          </w:p>
        </w:tc>
      </w:tr>
      <w:tr>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STD-010-CPP</w:t>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High</w:t>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Probable</w:t>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Low</w:t>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P1</w:t>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1</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C9C9C9"/>
              <w:start w:val="single" w:sz="4" w:space="0" w:color="C9C9C9"/>
              <w:bottom w:val="single" w:sz="4" w:space="0" w:color="C9C9C9"/>
              <w:end w:val="single" w:sz="4" w:space="0" w:color="C9C9C9"/>
            </w:tcBorders>
            <w:shd w:color="auto" w:fill="D9D9D9" w:val="clear"/>
          </w:tcPr>
          <w:p>
            <w:pPr>
              <w:pStyle w:val="Normal"/>
              <w:rPr/>
            </w:pPr>
            <w:r>
              <w:rPr/>
            </w:r>
          </w:p>
        </w:tc>
        <w:tc>
          <w:tcPr>
            <w:tcW w:w="1434"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1350"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1856"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2040"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2681"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000000100000" w:firstRow="0" w:lastRow="0" w:firstColumn="0" w:lastColumn="0" w:oddVBand="0" w:evenVBand="0" w:oddHBand="1" w:evenHBand="0" w:firstRowFirstColumn="0" w:firstRowLastColumn="0" w:lastRowFirstColumn="0" w:lastRowLastColumn="0"/>
              <w:rPr/>
            </w:pPr>
            <w:r>
              <w:rPr/>
            </w:r>
          </w:p>
        </w:tc>
      </w:tr>
      <w:tr>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r>
      <w:tr>
        <w:trPr>
          <w:trHeight w:val="353" w:hRule="atLeast"/>
        </w:trPr>
        <w:tc>
          <w:tcPr>
            <w:cnfStyle w:val="001000000000" w:firstRow="0" w:lastRow="0" w:firstColumn="1" w:lastColumn="0" w:oddVBand="0" w:evenVBand="0" w:oddHBand="0" w:evenHBand="0" w:firstRowFirstColumn="0" w:firstRowLastColumn="0" w:lastRowFirstColumn="0" w:lastRowLastColumn="0"/>
            <w:tcW w:w="1429" w:type="dxa"/>
            <w:tcBorders>
              <w:top w:val="single" w:sz="4" w:space="0" w:color="A5A5A5"/>
              <w:start w:val="single" w:sz="4" w:space="0" w:color="C9C9C9"/>
              <w:bottom w:val="single" w:sz="4" w:space="0" w:color="C9C9C9"/>
              <w:end w:val="single" w:sz="4" w:space="0" w:color="C9C9C9"/>
            </w:tcBorders>
            <w:shd w:color="auto" w:fill="EDEDED" w:val="clear"/>
          </w:tcPr>
          <w:p>
            <w:pPr>
              <w:pStyle w:val="Normal"/>
              <w:rPr/>
            </w:pPr>
            <w:r>
              <w:rPr/>
            </w:r>
          </w:p>
        </w:tc>
        <w:tc>
          <w:tcPr>
            <w:tcW w:w="143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c>
          <w:tcPr>
            <w:tcW w:w="135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c>
          <w:tcPr>
            <w:tcW w:w="1856"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c>
          <w:tcPr>
            <w:tcW w:w="204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c>
          <w:tcPr>
            <w:tcW w:w="2681"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r>
          </w:p>
        </w:tc>
      </w:tr>
    </w:tbl>
    <w:p>
      <w:pPr>
        <w:pStyle w:val="Normal"/>
        <w:rPr/>
      </w:pPr>
      <w:r>
        <w:rPr/>
      </w:r>
    </w:p>
    <w:p>
      <w:pPr>
        <w:pStyle w:val="Heading3"/>
        <w:rPr/>
      </w:pPr>
      <w:bookmarkStart w:id="25" w:name="_Toc52464076"/>
      <w:r>
        <w:rPr/>
        <w:t>Create Policies for Encryption and Triple A</w:t>
      </w:r>
      <w:bookmarkEnd w:id="25"/>
      <w:r>
        <w:rPr/>
        <w:t xml:space="preserve"> </w:t>
      </w:r>
    </w:p>
    <w:p>
      <w:pPr>
        <w:pStyle w:val="Normal"/>
        <w:ind w:start="720"/>
        <w:rPr>
          <w:b/>
          <w:i/>
        </w:rPr>
      </w:pPr>
      <w:r>
        <w:rPr/>
        <w:t>Include all three types of encryption (in flight, at rest, and in use) and each of the three elements of the Triple-A framework using the tables provided</w:t>
      </w:r>
      <w:r>
        <w:rPr>
          <w:b/>
          <w:i/>
        </w:rPr>
        <w:t>.</w:t>
      </w:r>
    </w:p>
    <w:p>
      <w:pPr>
        <w:pStyle w:val="List"/>
        <w:numPr>
          <w:ilvl w:val="1"/>
          <w:numId w:val="5"/>
        </w:numPr>
        <w:rPr/>
      </w:pPr>
      <w:r>
        <w:rPr/>
        <w:t>Explain each type of encryption, how it is used, and why and when the policy applies.</w:t>
      </w:r>
    </w:p>
    <w:p>
      <w:pPr>
        <w:pStyle w:val="List"/>
        <w:numPr>
          <w:ilvl w:val="1"/>
          <w:numId w:val="5"/>
        </w:numPr>
        <w:rPr/>
      </w:pPr>
      <w:r>
        <w:rPr/>
        <w:t>Explain each type of Triple-A framework strategy, how it is used, and why and when the policy applies.</w:t>
      </w:r>
    </w:p>
    <w:p>
      <w:pPr>
        <w:pStyle w:val="Normal"/>
        <w:ind w:start="1440"/>
        <w:rPr/>
      </w:pPr>
      <w:r>
        <w:rPr/>
      </w:r>
    </w:p>
    <w:p>
      <w:pPr>
        <w:pStyle w:val="Normal"/>
        <w:rPr/>
      </w:pPr>
      <w:r>
        <w:rPr/>
        <w:t>Write policies for each and explain what it is, how it should be applied in practice, and why it should be used.</w:t>
      </w:r>
    </w:p>
    <w:p>
      <w:pPr>
        <w:pStyle w:val="Normal"/>
        <w:rPr/>
      </w:pPr>
      <w:r>
        <w:rPr/>
      </w:r>
    </w:p>
    <w:tbl>
      <w:tblPr>
        <w:tblStyle w:val="affffffffd"/>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1904"/>
        <w:gridCol w:w="8876"/>
      </w:tblGrid>
      <w:tr>
        <w:trPr>
          <w:tblHeader w:val="true"/>
          <w:trHeight w:val="420" w:hRule="atLeast"/>
        </w:trPr>
        <w:tc>
          <w:tcPr>
            <w:tcW w:w="1904" w:type="dxa"/>
            <w:tcBorders>
              <w:top w:val="single" w:sz="8" w:space="0" w:color="000000"/>
              <w:start w:val="single" w:sz="8" w:space="0" w:color="000000"/>
              <w:bottom w:val="single" w:sz="8" w:space="0" w:color="000000"/>
              <w:end w:val="single" w:sz="8" w:space="0" w:color="000000"/>
            </w:tcBorders>
            <w:shd w:color="auto" w:fill="D9D9D9" w:val="clear"/>
            <w:vAlign w:val="bottom"/>
          </w:tcPr>
          <w:p>
            <w:pPr>
              <w:pStyle w:val="Normal"/>
              <w:numPr>
                <w:ilvl w:val="0"/>
                <w:numId w:val="4"/>
              </w:numPr>
              <w:rPr>
                <w:b/>
              </w:rPr>
            </w:pPr>
            <w:r>
              <w:rPr>
                <w:b/>
              </w:rPr>
              <w:t>Encryption</w:t>
            </w:r>
          </w:p>
        </w:tc>
        <w:tc>
          <w:tcPr>
            <w:tcW w:w="8876" w:type="dxa"/>
            <w:tcBorders>
              <w:top w:val="single" w:sz="8" w:space="0" w:color="000000"/>
              <w:start w:val="single" w:sz="8" w:space="0" w:color="000000"/>
              <w:bottom w:val="single" w:sz="8" w:space="0" w:color="000000"/>
              <w:end w:val="single" w:sz="8" w:space="0" w:color="000000"/>
            </w:tcBorders>
            <w:shd w:color="auto" w:fill="D9D9D9" w:val="clear"/>
            <w:vAlign w:val="bottom"/>
          </w:tcPr>
          <w:p>
            <w:pPr>
              <w:pStyle w:val="Normal"/>
              <w:rPr>
                <w:b/>
              </w:rPr>
            </w:pPr>
            <w:r>
              <w:rPr>
                <w:b/>
              </w:rPr>
              <w:t>Explain what it is and how and why the policy applies.</w:t>
            </w:r>
          </w:p>
        </w:tc>
      </w:tr>
      <w:tr>
        <w:trPr>
          <w:trHeight w:val="420" w:hRule="atLeast"/>
        </w:trPr>
        <w:tc>
          <w:tcPr>
            <w:tcW w:w="1904" w:type="dxa"/>
            <w:tcBorders>
              <w:top w:val="single" w:sz="8" w:space="0" w:color="000000"/>
              <w:start w:val="single" w:sz="8" w:space="0" w:color="000000"/>
              <w:bottom w:val="single" w:sz="8" w:space="0" w:color="000000"/>
              <w:end w:val="single" w:sz="8" w:space="0" w:color="000000"/>
            </w:tcBorders>
          </w:tcPr>
          <w:p>
            <w:pPr>
              <w:pStyle w:val="Normal"/>
              <w:rPr/>
            </w:pPr>
            <w:r>
              <w:rPr/>
              <w:t>Encryption at rest</w:t>
            </w:r>
          </w:p>
        </w:tc>
        <w:tc>
          <w:tcPr>
            <w:tcW w:w="8876" w:type="dxa"/>
            <w:tcBorders>
              <w:top w:val="single" w:sz="8" w:space="0" w:color="000000"/>
              <w:start w:val="single" w:sz="8" w:space="0" w:color="000000"/>
              <w:bottom w:val="single" w:sz="8" w:space="0" w:color="000000"/>
              <w:end w:val="single" w:sz="8" w:space="0" w:color="000000"/>
            </w:tcBorders>
          </w:tcPr>
          <w:p>
            <w:pPr>
              <w:pStyle w:val="Normal"/>
              <w:rPr/>
            </w:pPr>
            <w:r>
              <w:rPr/>
              <w:t>Encryption at rest protects data stored on disk, in databases, or in backups from unauthorized access when the underlying storage media is accessed outside the normal application flow. At Green Pace, all customer data, credentials, cryptographic keys, and PII stored on any managed infrastructure must be encrypted using AES-256-GCM. Database encryption (Transparent Data Encryption or column-level encryption) is mandatory. Encryption keys must be stored in a dedicated KMS or HSM and rotated at least annually. This policy applies at all times to all data classified as Confidential or higher and is verified during security audits.</w:t>
            </w:r>
          </w:p>
        </w:tc>
      </w:tr>
      <w:tr>
        <w:trPr>
          <w:trHeight w:val="420" w:hRule="atLeast"/>
        </w:trPr>
        <w:tc>
          <w:tcPr>
            <w:tcW w:w="1904" w:type="dxa"/>
            <w:tcBorders>
              <w:top w:val="single" w:sz="8" w:space="0" w:color="000000"/>
              <w:start w:val="single" w:sz="8" w:space="0" w:color="000000"/>
              <w:bottom w:val="single" w:sz="8" w:space="0" w:color="000000"/>
              <w:end w:val="single" w:sz="8" w:space="0" w:color="000000"/>
            </w:tcBorders>
          </w:tcPr>
          <w:p>
            <w:pPr>
              <w:pStyle w:val="Normal"/>
              <w:rPr/>
            </w:pPr>
            <w:r>
              <w:rPr/>
              <w:t>Encryption in flight</w:t>
            </w:r>
          </w:p>
        </w:tc>
        <w:tc>
          <w:tcPr>
            <w:tcW w:w="8876" w:type="dxa"/>
            <w:tcBorders>
              <w:top w:val="single" w:sz="8" w:space="0" w:color="000000"/>
              <w:start w:val="single" w:sz="8" w:space="0" w:color="000000"/>
              <w:bottom w:val="single" w:sz="8" w:space="0" w:color="000000"/>
              <w:end w:val="single" w:sz="8" w:space="0" w:color="000000"/>
            </w:tcBorders>
          </w:tcPr>
          <w:p>
            <w:pPr>
              <w:pStyle w:val="Normal"/>
              <w:rPr/>
            </w:pPr>
            <w:r>
              <w:rPr/>
              <w:t>Encryption in flight protects data as it moves across networks between clients, services, and external systems. At Green Pace, all inter-service communication and all communication with external parties must use TLS 1.2 or higher; TLS 1.0 and 1.1 are prohibited. Certificates must be issued by a trusted CA, validated against CRLs and OCSP, and renewed before expiry. Mutual TLS (mTLS) is required for all internal microservice communication. Unencrypted protocols (HTTP, FTP, Telnet) are forbidden on production networks. This policy applies whenever data classified as Internal or higher crosses a network boundary.</w:t>
            </w:r>
          </w:p>
        </w:tc>
      </w:tr>
      <w:tr>
        <w:trPr>
          <w:trHeight w:val="420" w:hRule="atLeast"/>
        </w:trPr>
        <w:tc>
          <w:tcPr>
            <w:tcW w:w="1904" w:type="dxa"/>
            <w:tcBorders>
              <w:top w:val="single" w:sz="8" w:space="0" w:color="000000"/>
              <w:start w:val="single" w:sz="8" w:space="0" w:color="000000"/>
              <w:bottom w:val="single" w:sz="8" w:space="0" w:color="000000"/>
              <w:end w:val="single" w:sz="8" w:space="0" w:color="000000"/>
            </w:tcBorders>
          </w:tcPr>
          <w:p>
            <w:pPr>
              <w:pStyle w:val="Normal"/>
              <w:rPr/>
            </w:pPr>
            <w:r>
              <w:rPr/>
              <w:t>Encryption in use</w:t>
            </w:r>
          </w:p>
        </w:tc>
        <w:tc>
          <w:tcPr>
            <w:tcW w:w="8876" w:type="dxa"/>
            <w:tcBorders>
              <w:top w:val="single" w:sz="8" w:space="0" w:color="000000"/>
              <w:start w:val="single" w:sz="8" w:space="0" w:color="000000"/>
              <w:bottom w:val="single" w:sz="8" w:space="0" w:color="000000"/>
              <w:end w:val="single" w:sz="8" w:space="0" w:color="000000"/>
            </w:tcBorders>
          </w:tcPr>
          <w:p>
            <w:pPr>
              <w:pStyle w:val="Normal"/>
              <w:rPr/>
            </w:pPr>
            <w:r>
              <w:rPr/>
              <w:t>Encryption in use protects sensitive data while it is actively being processed in memory, reducing exposure during computation. Technologies include hardware-based trusted execution environments (Intel SGX, AMD SEV) and secure enclaves. At Green Pace, decrypted cryptographic keys and authentication tokens must remain in memory for the shortest possible time and must be zeroed immediately after use (e.g., using explicit_bzero()). Where TEE technology is available for high-sensitivity operations such as key derivation, its use is preferred. This policy applies to all operations involving data classified as Restricted.</w:t>
            </w:r>
          </w:p>
        </w:tc>
      </w:tr>
    </w:tbl>
    <w:p>
      <w:pPr>
        <w:pStyle w:val="Normal"/>
        <w:rPr>
          <w:sz w:val="26"/>
          <w:szCs w:val="26"/>
        </w:rPr>
      </w:pPr>
      <w:r>
        <w:rPr>
          <w:sz w:val="26"/>
          <w:szCs w:val="26"/>
        </w:rPr>
      </w:r>
    </w:p>
    <w:tbl>
      <w:tblPr>
        <w:tblStyle w:val="affffffffe"/>
        <w:tblW w:w="10780" w:type="dxa"/>
        <w:jc w:val="start"/>
        <w:tblInd w:w="90" w:type="dxa"/>
        <w:tblLayout w:type="fixed"/>
        <w:tblCellMar>
          <w:top w:w="100" w:type="dxa"/>
          <w:start w:w="100" w:type="dxa"/>
          <w:bottom w:w="100" w:type="dxa"/>
          <w:end w:w="100" w:type="dxa"/>
        </w:tblCellMar>
        <w:tblLook w:firstRow="1" w:noVBand="1" w:lastRow="0" w:firstColumn="1" w:lastColumn="0" w:noHBand="1" w:val="06a0"/>
      </w:tblPr>
      <w:tblGrid>
        <w:gridCol w:w="2074"/>
        <w:gridCol w:w="8706"/>
      </w:tblGrid>
      <w:tr>
        <w:trPr>
          <w:tblHeader w:val="true"/>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numPr>
                <w:ilvl w:val="0"/>
                <w:numId w:val="4"/>
              </w:numPr>
              <w:rPr>
                <w:b/>
              </w:rPr>
            </w:pPr>
            <w:r>
              <w:rPr>
                <w:b/>
              </w:rPr>
              <w:t>Triple-A Framework*</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b/>
              </w:rPr>
              <w:t>Explain what it is and how and why the policy applies.</w:t>
            </w:r>
          </w:p>
        </w:tc>
      </w:tr>
      <w:tr>
        <w:trPr>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rPr/>
            </w:pPr>
            <w:r>
              <w:rPr/>
              <w:t>Authentication</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t>Authentication verifies the claimed identity of a user, system, or service before granting access. At Green Pace, all user logins to any system or application must use multi-factor authentication (MFA) combining a password and a second factor (TOTP, hardware key, or push notification). Passwords must be stored as salted hashes using bcrypt, scrypt, or Argon2id. Service-to-service authentication must use short-lived tokens (JWT, OAuth 2.0 client credentials) expiring within one hour. Failed authentication attempts must be rate-limited and logged. Account lockout occurs after five consecutive failed attempts. This policy applies to all user and service accounts accessing Green Pace systems.</w:t>
            </w:r>
          </w:p>
        </w:tc>
      </w:tr>
      <w:tr>
        <w:trPr>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rPr/>
            </w:pPr>
            <w:r>
              <w:rPr/>
              <w:t>Authorization</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t>Authorization determines what an authenticated principal is permitted to do. After authentication, access to data, features, and operations must be governed by RBAC or ABAC with a default-deny baseline. At Green Pace, user levels of access must be defined at onboarding, reviewed quarterly, and revoked immediately upon role change or departure. Privilege escalation requires secondary approval. Changes to the database, addition of new users, and access to files containing PII or credentials must be limited to roles with explicit business justification. No account may hold broad administrative rights to production systems without a documented, time-limited exception approved by the CISO. Authorization decisions are enforced server-side only.</w:t>
            </w:r>
          </w:p>
        </w:tc>
      </w:tr>
      <w:tr>
        <w:trPr>
          <w:trHeight w:val="420" w:hRule="atLeast"/>
        </w:trPr>
        <w:tc>
          <w:tcPr>
            <w:tcW w:w="2074" w:type="dxa"/>
            <w:tcBorders>
              <w:top w:val="single" w:sz="8" w:space="0" w:color="000000"/>
              <w:start w:val="single" w:sz="8" w:space="0" w:color="000000"/>
              <w:bottom w:val="single" w:sz="8" w:space="0" w:color="000000"/>
              <w:end w:val="single" w:sz="8" w:space="0" w:color="000000"/>
            </w:tcBorders>
          </w:tcPr>
          <w:p>
            <w:pPr>
              <w:pStyle w:val="Normal"/>
              <w:rPr/>
            </w:pPr>
            <w:r>
              <w:rPr/>
              <w:t>Accounting</w:t>
            </w:r>
          </w:p>
        </w:tc>
        <w:tc>
          <w:tcPr>
            <w:tcW w:w="8706" w:type="dxa"/>
            <w:tcBorders>
              <w:top w:val="single" w:sz="8" w:space="0" w:color="000000"/>
              <w:start w:val="single" w:sz="8" w:space="0" w:color="000000"/>
              <w:bottom w:val="single" w:sz="8" w:space="0" w:color="000000"/>
              <w:end w:val="single" w:sz="8" w:space="0" w:color="000000"/>
            </w:tcBorders>
          </w:tcPr>
          <w:p>
            <w:pPr>
              <w:pStyle w:val="Normal"/>
              <w:rPr/>
            </w:pPr>
            <w:r>
              <w:rPr/>
              <w:t>Accounting (auditing) ensures that all significant actions by users and systems are recorded in tamper-evident logs for detection, investigation, and attribution. At Green Pace the following events must be logged with timestamp, user identity, source IP, and outcome: all user logins and logouts; all failed authentication attempts; all database changes (inserts, updates, deletes) to sensitive records; addition of new users and changes to user roles; access to files containing PII or credentials; and all administrative actions. Logs must be forwarded to a centralized, write-once SIEM within 60 seconds. Log retention must be at least 12 months online and 7 years in cold storage. Log integrity is protected by cryptographic hashing. UEBA anomaly detection must trigger automated alerts.</w:t>
            </w:r>
          </w:p>
        </w:tc>
      </w:tr>
    </w:tbl>
    <w:p>
      <w:pPr>
        <w:pStyle w:val="Normal"/>
        <w:rPr/>
      </w:pPr>
      <w:r>
        <w:rPr/>
      </w:r>
    </w:p>
    <w:p>
      <w:pPr>
        <w:pStyle w:val="Normal"/>
        <w:ind w:start="810"/>
        <w:rPr/>
      </w:pPr>
      <w:r>
        <w:rPr>
          <w:b/>
        </w:rPr>
        <w:t>*</w:t>
      </w:r>
      <w:r>
        <w:rPr/>
        <w:t>Use this checklist for the Triple A to be sure you include these elements in your policy:</w:t>
      </w:r>
    </w:p>
    <w:p>
      <w:pPr>
        <w:pStyle w:val="Normal"/>
        <w:rPr/>
      </w:pPr>
      <w:r>
        <w:rPr/>
      </w:r>
    </w:p>
    <w:p>
      <w:pPr>
        <w:pStyle w:val="ListBullet"/>
        <w:numPr>
          <w:ilvl w:val="0"/>
          <w:numId w:val="3"/>
        </w:numPr>
        <w:ind w:hanging="360" w:start="1440"/>
        <w:rPr/>
      </w:pPr>
      <w:r>
        <w:rPr/>
        <w:t>User logins</w:t>
      </w:r>
    </w:p>
    <w:p>
      <w:pPr>
        <w:pStyle w:val="ListBullet"/>
        <w:numPr>
          <w:ilvl w:val="0"/>
          <w:numId w:val="3"/>
        </w:numPr>
        <w:ind w:hanging="360" w:start="1440"/>
        <w:rPr/>
      </w:pPr>
      <w:r>
        <w:rPr/>
        <w:t>Changes to the database</w:t>
      </w:r>
    </w:p>
    <w:p>
      <w:pPr>
        <w:pStyle w:val="ListBullet"/>
        <w:numPr>
          <w:ilvl w:val="0"/>
          <w:numId w:val="3"/>
        </w:numPr>
        <w:ind w:hanging="360" w:start="1440"/>
        <w:rPr/>
      </w:pPr>
      <w:r>
        <w:rPr/>
        <w:t>Addition of new users</w:t>
      </w:r>
    </w:p>
    <w:p>
      <w:pPr>
        <w:pStyle w:val="ListBullet"/>
        <w:numPr>
          <w:ilvl w:val="0"/>
          <w:numId w:val="3"/>
        </w:numPr>
        <w:ind w:hanging="360" w:start="1440"/>
        <w:rPr/>
      </w:pPr>
      <w:r>
        <w:rPr/>
        <w:t>User level of access</w:t>
      </w:r>
    </w:p>
    <w:p>
      <w:pPr>
        <w:pStyle w:val="ListBullet"/>
        <w:numPr>
          <w:ilvl w:val="0"/>
          <w:numId w:val="3"/>
        </w:numPr>
        <w:pBdr/>
        <w:ind w:hanging="360" w:start="1440"/>
        <w:rPr/>
      </w:pPr>
      <w:r>
        <w:rPr/>
        <w:t>Files accessed by users</w:t>
      </w:r>
    </w:p>
    <w:p>
      <w:pPr>
        <w:pStyle w:val="Normal"/>
        <w:pBdr/>
        <w:ind w:start="720"/>
        <w:rPr>
          <w:color w:val="000000"/>
        </w:rPr>
      </w:pPr>
      <w:r>
        <w:rPr>
          <w:color w:val="000000"/>
        </w:rPr>
      </w:r>
    </w:p>
    <w:p>
      <w:pPr>
        <w:pStyle w:val="Heading3"/>
        <w:rPr/>
      </w:pPr>
      <w:bookmarkStart w:id="26" w:name="_Toc52464077"/>
      <w:r>
        <w:rPr/>
        <w:t>Map the Principles</w:t>
      </w:r>
      <w:bookmarkEnd w:id="26"/>
      <w:r>
        <w:rPr>
          <w:i/>
        </w:rPr>
        <w:t xml:space="preserve"> </w:t>
      </w:r>
    </w:p>
    <w:p>
      <w:pPr>
        <w:pStyle w:val="Normal"/>
        <w:ind w:start="720"/>
        <w:rPr>
          <w:b/>
        </w:rPr>
      </w:pPr>
      <w:r>
        <w:rP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pPr>
        <w:pStyle w:val="Normal"/>
        <w:rPr>
          <w:b/>
        </w:rPr>
      </w:pPr>
      <w:r>
        <w:rPr>
          <w:b/>
        </w:rPr>
      </w:r>
    </w:p>
    <w:p>
      <w:pPr>
        <w:pStyle w:val="Normal"/>
        <w:ind w:start="810"/>
        <w:rPr/>
      </w:pPr>
      <w:r>
        <w:rPr>
          <w:b/>
        </w:rPr>
        <w:t>NOTE:</w:t>
      </w:r>
      <w:r>
        <w:rPr/>
        <w:t xml:space="preserve"> Green Pace has already successfully implemented the following:</w:t>
      </w:r>
    </w:p>
    <w:p>
      <w:pPr>
        <w:pStyle w:val="Normal"/>
        <w:rPr/>
      </w:pPr>
      <w:r>
        <w:rPr/>
      </w:r>
    </w:p>
    <w:p>
      <w:pPr>
        <w:pStyle w:val="ListBullet"/>
        <w:numPr>
          <w:ilvl w:val="0"/>
          <w:numId w:val="3"/>
        </w:numPr>
        <w:ind w:hanging="360" w:start="1440"/>
        <w:rPr/>
      </w:pPr>
      <w:r>
        <w:rPr/>
        <w:t xml:space="preserve">Operating system logs </w:t>
      </w:r>
    </w:p>
    <w:p>
      <w:pPr>
        <w:pStyle w:val="ListBullet"/>
        <w:numPr>
          <w:ilvl w:val="0"/>
          <w:numId w:val="3"/>
        </w:numPr>
        <w:ind w:hanging="360" w:start="1440"/>
        <w:rPr/>
      </w:pPr>
      <w:r>
        <w:rPr/>
        <w:t xml:space="preserve">Firewall logs </w:t>
      </w:r>
    </w:p>
    <w:p>
      <w:pPr>
        <w:pStyle w:val="ListBullet"/>
        <w:numPr>
          <w:ilvl w:val="0"/>
          <w:numId w:val="3"/>
        </w:numPr>
        <w:ind w:hanging="360" w:start="1440"/>
        <w:rPr/>
      </w:pPr>
      <w:r>
        <w:rPr/>
        <w:t>Anti-malware logs</w:t>
      </w:r>
      <w:r>
        <w:br w:type="page"/>
      </w:r>
    </w:p>
    <w:p>
      <w:pPr>
        <w:pStyle w:val="Normal"/>
        <w:spacing w:before="0" w:after="0"/>
        <w:ind w:start="720"/>
        <w:rPr/>
      </w:pPr>
      <w:r>
        <w:rPr/>
        <w:t>The only item you must complete beyond this point is the Policy Version History table.</w:t>
      </w:r>
    </w:p>
    <w:p>
      <w:pPr>
        <w:pStyle w:val="Normal"/>
        <w:rPr/>
      </w:pPr>
      <w:r>
        <w:rPr/>
        <mc:AlternateContent>
          <mc:Choice Requires="wps">
            <w:drawing>
              <wp:inline distT="0" distB="0" distL="0" distR="0">
                <wp:extent cx="68580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6858000" cy="19080"/>
                        </a:xfrm>
                        <a:prstGeom prst="rect">
                          <a:avLst/>
                        </a:prstGeom>
                        <a:solidFill>
                          <a:srgbClr val="A0A0A0"/>
                        </a:solidFill>
                        <a:ln w="0">
                          <a:noFill/>
                        </a:ln>
                      </wps:spPr>
                      <wps:bodyPr/>
                    </wps:wsp>
                  </a:graphicData>
                </a:graphic>
                <wp14:sizeRelH relativeFrom="page">
                  <wp14:pctWidth>100000</wp14:pctWidth>
                </wp14:sizeRelH>
              </wp:inline>
            </w:drawing>
          </mc:Choice>
          <mc:Fallback>
            <w:pict>
              <v:rect id="shape_0" fillcolor="#a0a0a0" stroked="f" o:allowincell="f" style="position:absolute;margin-left:0pt;margin-top:-1.55pt;width:539.95pt;height:1.45pt;mso-wrap-style:none;v-text-anchor:middle;mso-position-horizontal:center;mso-position-vertical:top">
                <v:fill o:detectmouseclick="t" type="solid" color2="#5f5f5f"/>
                <v:stroke color="#3465a4" joinstyle="round" endcap="flat"/>
                <w10:wrap type="topAndBottom"/>
              </v:rect>
            </w:pict>
          </mc:Fallback>
        </mc:AlternateContent>
      </w:r>
    </w:p>
    <w:p>
      <w:pPr>
        <w:pStyle w:val="Heading2"/>
        <w:rPr/>
      </w:pPr>
      <w:bookmarkStart w:id="27" w:name="_Toc52464078"/>
      <w:r>
        <w:rPr/>
        <w:t>Audit Controls and Management</w:t>
      </w:r>
      <w:bookmarkEnd w:id="27"/>
    </w:p>
    <w:p>
      <w:pPr>
        <w:pStyle w:val="Normal"/>
        <w:rPr/>
      </w:pPr>
      <w:r>
        <w:rPr/>
        <w:t>Every software development effort must be able to provide evidence of compliance for each software deployed into any Green Pace managed environment.</w:t>
      </w:r>
    </w:p>
    <w:p>
      <w:pPr>
        <w:pStyle w:val="Normal"/>
        <w:rPr/>
      </w:pPr>
      <w:r>
        <w:rPr/>
      </w:r>
    </w:p>
    <w:p>
      <w:pPr>
        <w:pStyle w:val="Normal"/>
        <w:rPr/>
      </w:pPr>
      <w:r>
        <w:rPr/>
        <w:t>Evidence will include the following:</w:t>
      </w:r>
    </w:p>
    <w:p>
      <w:pPr>
        <w:pStyle w:val="Normal"/>
        <w:rPr/>
      </w:pPr>
      <w:r>
        <w:rPr/>
      </w:r>
    </w:p>
    <w:p>
      <w:pPr>
        <w:pStyle w:val="ListBullet2"/>
        <w:numPr>
          <w:ilvl w:val="0"/>
          <w:numId w:val="1"/>
        </w:numPr>
        <w:rPr/>
      </w:pPr>
      <w:r>
        <w:rPr/>
        <w:t>Code compliance to standards</w:t>
      </w:r>
    </w:p>
    <w:p>
      <w:pPr>
        <w:pStyle w:val="ListBullet2"/>
        <w:numPr>
          <w:ilvl w:val="0"/>
          <w:numId w:val="1"/>
        </w:numPr>
        <w:rPr/>
      </w:pPr>
      <w:r>
        <w:rPr/>
        <w:t>Well-documented access-control strategies, with sampled evidence of compliance</w:t>
      </w:r>
    </w:p>
    <w:p>
      <w:pPr>
        <w:pStyle w:val="ListBullet2"/>
        <w:numPr>
          <w:ilvl w:val="0"/>
          <w:numId w:val="1"/>
        </w:numPr>
        <w:rPr/>
      </w:pPr>
      <w:r>
        <w:rPr/>
        <w:t>Well-documented data-control standards defining the expected security posture of data at rest, in flight, and in use</w:t>
      </w:r>
    </w:p>
    <w:p>
      <w:pPr>
        <w:pStyle w:val="ListBullet2"/>
        <w:numPr>
          <w:ilvl w:val="0"/>
          <w:numId w:val="1"/>
        </w:numPr>
        <w:pBdr/>
        <w:rPr/>
      </w:pPr>
      <w:r>
        <w:rPr/>
        <w:t>Historical evidence of sustained practice (emails, logs, audits, meeting notes)</w:t>
      </w:r>
    </w:p>
    <w:p>
      <w:pPr>
        <w:pStyle w:val="Normal"/>
        <w:pBdr/>
        <w:ind w:start="720"/>
        <w:rPr/>
      </w:pPr>
      <w:r>
        <w:rPr/>
      </w:r>
    </w:p>
    <w:p>
      <w:pPr>
        <w:pStyle w:val="Heading2"/>
        <w:rPr/>
      </w:pPr>
      <w:bookmarkStart w:id="28" w:name="_Toc52464079"/>
      <w:r>
        <w:rPr/>
        <w:t>Enforcement</w:t>
      </w:r>
      <w:bookmarkEnd w:id="28"/>
    </w:p>
    <w:p>
      <w:pPr>
        <w:pStyle w:val="Normal"/>
        <w:rPr/>
      </w:pPr>
      <w:r>
        <w:rP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pPr>
        <w:pStyle w:val="Normal"/>
        <w:rPr/>
      </w:pPr>
      <w:r>
        <w:rPr/>
      </w:r>
    </w:p>
    <w:p>
      <w:pPr>
        <w:pStyle w:val="Normal"/>
        <w:rPr/>
      </w:pPr>
      <w:r>
        <w:rPr/>
        <w:t>Staff members, consultants, or employees found in violation of this policy will be subject to disciplinary action, up to and including termination.</w:t>
      </w:r>
    </w:p>
    <w:p>
      <w:pPr>
        <w:pStyle w:val="Normal"/>
        <w:rPr/>
      </w:pPr>
      <w:r>
        <w:rPr/>
      </w:r>
    </w:p>
    <w:p>
      <w:pPr>
        <w:pStyle w:val="Heading2"/>
        <w:rPr/>
      </w:pPr>
      <w:bookmarkStart w:id="29" w:name="_Toc52464080"/>
      <w:r>
        <w:rPr/>
        <w:t>Exceptions Process</w:t>
      </w:r>
      <w:bookmarkEnd w:id="29"/>
    </w:p>
    <w:p>
      <w:pPr>
        <w:pStyle w:val="Normal"/>
        <w:rPr/>
      </w:pPr>
      <w:r>
        <w:rPr/>
        <w:t>Any exception to the standards in this policy must be requested in writing with the following information:</w:t>
      </w:r>
    </w:p>
    <w:p>
      <w:pPr>
        <w:pStyle w:val="Normal"/>
        <w:rPr/>
      </w:pPr>
      <w:r>
        <w:rPr/>
      </w:r>
    </w:p>
    <w:p>
      <w:pPr>
        <w:pStyle w:val="ListBullet2"/>
        <w:numPr>
          <w:ilvl w:val="0"/>
          <w:numId w:val="1"/>
        </w:numPr>
        <w:rPr/>
      </w:pPr>
      <w:r>
        <w:rPr/>
        <w:t>Business or technical rationale</w:t>
      </w:r>
    </w:p>
    <w:p>
      <w:pPr>
        <w:pStyle w:val="ListBullet2"/>
        <w:numPr>
          <w:ilvl w:val="0"/>
          <w:numId w:val="1"/>
        </w:numPr>
        <w:rPr/>
      </w:pPr>
      <w:r>
        <w:rPr/>
        <w:t>Risk impact analysis</w:t>
      </w:r>
    </w:p>
    <w:p>
      <w:pPr>
        <w:pStyle w:val="ListBullet2"/>
        <w:numPr>
          <w:ilvl w:val="0"/>
          <w:numId w:val="1"/>
        </w:numPr>
        <w:rPr/>
      </w:pPr>
      <w:r>
        <w:rPr/>
        <w:t>Risk mitigation analysis</w:t>
      </w:r>
    </w:p>
    <w:p>
      <w:pPr>
        <w:pStyle w:val="ListBullet2"/>
        <w:numPr>
          <w:ilvl w:val="0"/>
          <w:numId w:val="1"/>
        </w:numPr>
        <w:rPr/>
      </w:pPr>
      <w:r>
        <w:rPr/>
        <w:t>Plan to come into compliance</w:t>
      </w:r>
    </w:p>
    <w:p>
      <w:pPr>
        <w:pStyle w:val="ListBullet2"/>
        <w:numPr>
          <w:ilvl w:val="0"/>
          <w:numId w:val="1"/>
        </w:numPr>
        <w:rPr/>
      </w:pPr>
      <w:r>
        <w:rPr/>
        <w:t>Date for when the plan to come into compliance will be completed</w:t>
      </w:r>
    </w:p>
    <w:p>
      <w:pPr>
        <w:pStyle w:val="Normal"/>
        <w:rPr/>
      </w:pPr>
      <w:r>
        <w:rPr/>
      </w:r>
    </w:p>
    <w:p>
      <w:pPr>
        <w:pStyle w:val="Normal"/>
        <w:rPr/>
      </w:pPr>
      <w:r>
        <w:rPr/>
        <w:t>Approval for any exception must be granted by chief information officer (CIO) and the chief information security officer (CISO) or their appointed delegates of officer level.</w:t>
      </w:r>
    </w:p>
    <w:p>
      <w:pPr>
        <w:pStyle w:val="Normal"/>
        <w:rPr/>
      </w:pPr>
      <w:r>
        <w:rPr/>
      </w:r>
    </w:p>
    <w:p>
      <w:pPr>
        <w:pStyle w:val="Normal"/>
        <w:rPr/>
      </w:pPr>
      <w:r>
        <w:rPr/>
        <w:t>Exceptions will remain on file with the office of the CISO, which will administer and govern compliance.</w:t>
      </w:r>
      <w:r>
        <w:br w:type="page"/>
      </w:r>
    </w:p>
    <w:p>
      <w:pPr>
        <w:pStyle w:val="Heading2"/>
        <w:spacing w:before="0" w:after="0"/>
        <w:contextualSpacing/>
        <w:rPr/>
      </w:pPr>
      <w:bookmarkStart w:id="30" w:name="_Toc52464081"/>
      <w:r>
        <w:rPr/>
        <w:t>Distribution</w:t>
      </w:r>
      <w:bookmarkEnd w:id="30"/>
    </w:p>
    <w:p>
      <w:pPr>
        <w:pStyle w:val="Normal"/>
        <w:rPr/>
      </w:pPr>
      <w:r>
        <w:rPr/>
        <w:t>This policy is to be distributed to all Green Pace IT staff annually. All IT staff will need to certify acceptance and awareness of this policy annually.</w:t>
      </w:r>
    </w:p>
    <w:p>
      <w:pPr>
        <w:pStyle w:val="Normal"/>
        <w:rPr/>
      </w:pPr>
      <w:r>
        <w:rPr/>
      </w:r>
    </w:p>
    <w:p>
      <w:pPr>
        <w:pStyle w:val="Heading2"/>
        <w:rPr/>
      </w:pPr>
      <w:bookmarkStart w:id="31" w:name="_Toc52464082"/>
      <w:r>
        <w:rPr/>
        <w:t>Policy Change Control</w:t>
      </w:r>
      <w:bookmarkEnd w:id="31"/>
    </w:p>
    <w:p>
      <w:pPr>
        <w:pStyle w:val="Normal"/>
        <w:rPr/>
      </w:pPr>
      <w:r>
        <w:rPr/>
        <w:t>This policy will be automatically reviewed annually, no later than 365 days from the last revision date. Further, it will be reviewed in response to regulatory or compliance changes, and on demand as determined by the OCISO.</w:t>
      </w:r>
    </w:p>
    <w:p>
      <w:pPr>
        <w:pStyle w:val="Normal"/>
        <w:rPr/>
      </w:pPr>
      <w:r>
        <w:rPr/>
      </w:r>
    </w:p>
    <w:p>
      <w:pPr>
        <w:pStyle w:val="Heading2"/>
        <w:rPr/>
      </w:pPr>
      <w:bookmarkStart w:id="32" w:name="_Toc52464083"/>
      <w:r>
        <w:rPr/>
        <w:t>Policy Version History</w:t>
      </w:r>
      <w:bookmarkEnd w:id="32"/>
    </w:p>
    <w:p>
      <w:pPr>
        <w:pStyle w:val="Normal"/>
        <w:rPr/>
      </w:pPr>
      <w:r>
        <w:rPr/>
      </w:r>
    </w:p>
    <w:tbl>
      <w:tblPr>
        <w:tblStyle w:val="afffffffff"/>
        <w:tblW w:w="10385"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1344"/>
        <w:gridCol w:w="1530"/>
        <w:gridCol w:w="3510"/>
        <w:gridCol w:w="1924"/>
        <w:gridCol w:w="2077"/>
      </w:tblGrid>
      <w:tr>
        <w:trPr>
          <w:tblHeader w:val="true"/>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44" w:type="dxa"/>
            <w:tcBorders>
              <w:top w:val="single" w:sz="4" w:space="0" w:color="C9C9C9"/>
              <w:start w:val="single" w:sz="4" w:space="0" w:color="C9C9C9"/>
              <w:bottom w:val="single" w:sz="4" w:space="0" w:color="A5A5A5"/>
              <w:end w:val="single" w:sz="4" w:space="0" w:color="C9C9C9"/>
            </w:tcBorders>
            <w:shd w:color="auto" w:fill="D9D9D9" w:val="clear"/>
          </w:tcPr>
          <w:p>
            <w:pPr>
              <w:pStyle w:val="Normal"/>
              <w:rPr>
                <w:color w:val="000000"/>
              </w:rPr>
            </w:pPr>
            <w:r>
              <w:rPr>
                <w:color w:val="000000"/>
              </w:rPr>
              <w:t>Version</w:t>
            </w:r>
          </w:p>
        </w:tc>
        <w:tc>
          <w:tcPr>
            <w:tcW w:w="1530"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4"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1.0</w:t>
            </w:r>
          </w:p>
        </w:tc>
        <w:tc>
          <w:tcPr>
            <w:tcW w:w="153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08/05/2020</w:t>
            </w:r>
          </w:p>
        </w:tc>
        <w:tc>
          <w:tcPr>
            <w:tcW w:w="351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Initial Template</w:t>
            </w:r>
          </w:p>
        </w:tc>
        <w:tc>
          <w:tcPr>
            <w:tcW w:w="192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David Buksbaum</w:t>
            </w:r>
          </w:p>
        </w:tc>
        <w:tc>
          <w:tcPr>
            <w:tcW w:w="207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r>
          </w:p>
        </w:tc>
      </w:tr>
      <w:tr>
        <w:trPr/>
        <w:tc>
          <w:tcPr>
            <w:cnfStyle w:val="001000000000" w:firstRow="0" w:lastRow="0" w:firstColumn="1" w:lastColumn="0" w:oddVBand="0" w:evenVBand="0" w:oddHBand="0" w:evenHBand="0" w:firstRowFirstColumn="0" w:firstRowLastColumn="0" w:lastRowFirstColumn="0" w:lastRowLastColumn="0"/>
            <w:tcW w:w="1344"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1.1</w:t>
            </w:r>
          </w:p>
        </w:tc>
        <w:tc>
          <w:tcPr>
            <w:tcW w:w="153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04/08/2026</w:t>
            </w:r>
          </w:p>
        </w:tc>
        <w:tc>
          <w:tcPr>
            <w:tcW w:w="3510"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Added 10 coding standards, risk assessments, automation guidance, encryption and Triple-A policies, and principle mappings per Project One requirements.</w:t>
            </w:r>
          </w:p>
        </w:tc>
        <w:tc>
          <w:tcPr>
            <w:tcW w:w="1924"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Green Pace Dev Team</w:t>
            </w:r>
          </w:p>
        </w:tc>
        <w:tc>
          <w:tcPr>
            <w:tcW w:w="2077"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CISO</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4"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1.2</w:t>
            </w:r>
          </w:p>
        </w:tc>
        <w:tc>
          <w:tcPr>
            <w:tcW w:w="153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04/08/2026</w:t>
            </w:r>
          </w:p>
        </w:tc>
        <w:tc>
          <w:tcPr>
            <w:tcW w:w="3510"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Final review and formatting for security audit submission.</w:t>
            </w:r>
          </w:p>
        </w:tc>
        <w:tc>
          <w:tcPr>
            <w:tcW w:w="1924"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Green Pace Dev Team</w:t>
            </w:r>
          </w:p>
        </w:tc>
        <w:tc>
          <w:tcPr>
            <w:tcW w:w="2077"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CIO</w:t>
            </w:r>
          </w:p>
        </w:tc>
      </w:tr>
    </w:tbl>
    <w:p>
      <w:pPr>
        <w:pStyle w:val="Normal"/>
        <w:rPr/>
      </w:pPr>
      <w:r>
        <w:rPr/>
      </w:r>
    </w:p>
    <w:p>
      <w:pPr>
        <w:pStyle w:val="Heading2"/>
        <w:rPr/>
      </w:pPr>
      <w:bookmarkStart w:id="33" w:name="_Toc52464084"/>
      <w:r>
        <w:rPr/>
        <w:t>Appendix A Lookups</w:t>
      </w:r>
      <w:bookmarkEnd w:id="33"/>
    </w:p>
    <w:p>
      <w:pPr>
        <w:pStyle w:val="Normal"/>
        <w:rPr/>
      </w:pPr>
      <w:r>
        <w:rPr/>
      </w:r>
    </w:p>
    <w:p>
      <w:pPr>
        <w:pStyle w:val="Heading3"/>
        <w:rPr/>
      </w:pPr>
      <w:bookmarkStart w:id="34" w:name="_Toc52464085"/>
      <w:r>
        <w:rPr/>
        <w:t>Approved C/C++ Language Acronyms</w:t>
      </w:r>
      <w:bookmarkEnd w:id="34"/>
    </w:p>
    <w:p>
      <w:pPr>
        <w:pStyle w:val="Normal"/>
        <w:rPr/>
      </w:pPr>
      <w:r>
        <w:rPr/>
      </w:r>
    </w:p>
    <w:tbl>
      <w:tblPr>
        <w:tblStyle w:val="afffffffff0"/>
        <w:tblW w:w="10385" w:type="dxa"/>
        <w:jc w:val="start"/>
        <w:tblInd w:w="103" w:type="dxa"/>
        <w:tblLayout w:type="fixed"/>
        <w:tblCellMar>
          <w:top w:w="0" w:type="dxa"/>
          <w:start w:w="108" w:type="dxa"/>
          <w:bottom w:w="0" w:type="dxa"/>
          <w:end w:w="108" w:type="dxa"/>
        </w:tblCellMar>
        <w:tblLook w:firstRow="1" w:noVBand="1" w:lastRow="0" w:firstColumn="1" w:lastColumn="0" w:noHBand="0" w:val="04a0"/>
      </w:tblPr>
      <w:tblGrid>
        <w:gridCol w:w="5192"/>
        <w:gridCol w:w="5193"/>
      </w:tblGrid>
      <w:tr>
        <w:trPr>
          <w:tblHeader w:val="true"/>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5192" w:type="dxa"/>
            <w:tcBorders>
              <w:top w:val="single" w:sz="4" w:space="0" w:color="C9C9C9"/>
              <w:start w:val="single" w:sz="4" w:space="0" w:color="C9C9C9"/>
              <w:bottom w:val="single" w:sz="4" w:space="0" w:color="A5A5A5"/>
              <w:end w:val="single" w:sz="4" w:space="0" w:color="C9C9C9"/>
            </w:tcBorders>
            <w:shd w:color="auto" w:fill="D9D9D9" w:val="clear"/>
          </w:tcPr>
          <w:p>
            <w:pPr>
              <w:pStyle w:val="Normal"/>
              <w:rPr>
                <w:color w:val="000000"/>
              </w:rPr>
            </w:pPr>
            <w:r>
              <w:rPr>
                <w:color w:val="000000"/>
              </w:rPr>
              <w:t>Language</w:t>
            </w:r>
          </w:p>
        </w:tc>
        <w:tc>
          <w:tcPr>
            <w:tcW w:w="5193" w:type="dxa"/>
            <w:tcBorders>
              <w:top w:val="single" w:sz="4" w:space="0" w:color="C9C9C9"/>
              <w:start w:val="single" w:sz="4" w:space="0" w:color="C9C9C9"/>
              <w:bottom w:val="single" w:sz="4" w:space="0" w:color="C9C9C9"/>
              <w:end w:val="single" w:sz="4" w:space="0" w:color="C9C9C9"/>
            </w:tcBorders>
            <w:shd w:color="auto" w:fill="D9D9D9" w:val="clear"/>
          </w:tcPr>
          <w:p>
            <w:pPr>
              <w:pStyle w:val="Normal"/>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C++</w:t>
            </w:r>
          </w:p>
        </w:tc>
        <w:tc>
          <w:tcPr>
            <w:tcW w:w="5193"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CPP</w:t>
            </w:r>
          </w:p>
        </w:tc>
      </w:tr>
      <w:tr>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start w:val="single" w:sz="4" w:space="0" w:color="C9C9C9"/>
              <w:bottom w:val="single" w:sz="4" w:space="0" w:color="A5A5A5"/>
              <w:end w:val="single" w:sz="4" w:space="0" w:color="C9C9C9"/>
            </w:tcBorders>
            <w:shd w:color="auto" w:fill="EDEDED" w:val="clear"/>
          </w:tcPr>
          <w:p>
            <w:pPr>
              <w:pStyle w:val="Normal"/>
              <w:rPr/>
            </w:pPr>
            <w:r>
              <w:rPr/>
              <w:t>C</w:t>
            </w:r>
          </w:p>
        </w:tc>
        <w:tc>
          <w:tcPr>
            <w:tcW w:w="5193" w:type="dxa"/>
            <w:tcBorders>
              <w:top w:val="single" w:sz="4" w:space="0" w:color="C9C9C9"/>
              <w:start w:val="single" w:sz="4" w:space="0" w:color="C9C9C9"/>
              <w:bottom w:val="single" w:sz="4" w:space="0" w:color="C9C9C9"/>
              <w:end w:val="single" w:sz="4" w:space="0" w:color="C9C9C9"/>
            </w:tcBorders>
          </w:tcPr>
          <w:p>
            <w:pPr>
              <w:pStyle w:val="Normal"/>
              <w:cnfStyle w:val="000000000000" w:firstRow="0" w:lastRow="0" w:firstColumn="0" w:lastColumn="0" w:oddVBand="0" w:evenVBand="0" w:oddHBand="0" w:evenHBand="0" w:firstRowFirstColumn="0" w:firstRowLastColumn="0" w:lastRowFirstColumn="0" w:lastRowLastColumn="0"/>
              <w:rPr/>
            </w:pPr>
            <w:r>
              <w:rPr/>
              <w:t>CLG</w:t>
            </w:r>
          </w:p>
        </w:tc>
      </w:tr>
      <w:tr>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C9C9C9"/>
              <w:start w:val="single" w:sz="4" w:space="0" w:color="C9C9C9"/>
              <w:bottom w:val="single" w:sz="4" w:space="0" w:color="C9C9C9"/>
              <w:end w:val="single" w:sz="4" w:space="0" w:color="C9C9C9"/>
            </w:tcBorders>
            <w:shd w:color="auto" w:fill="EDEDED" w:val="clear"/>
          </w:tcPr>
          <w:p>
            <w:pPr>
              <w:pStyle w:val="Normal"/>
              <w:rPr/>
            </w:pPr>
            <w:r>
              <w:rPr/>
              <w:t>Java</w:t>
            </w:r>
          </w:p>
        </w:tc>
        <w:tc>
          <w:tcPr>
            <w:tcW w:w="5193" w:type="dxa"/>
            <w:tcBorders>
              <w:top w:val="single" w:sz="4" w:space="0" w:color="C9C9C9"/>
              <w:start w:val="single" w:sz="4" w:space="0" w:color="C9C9C9"/>
              <w:bottom w:val="single" w:sz="4" w:space="0" w:color="C9C9C9"/>
              <w:end w:val="single" w:sz="4" w:space="0" w:color="C9C9C9"/>
            </w:tcBorders>
          </w:tcPr>
          <w:p>
            <w:pPr>
              <w:pStyle w:val="Normal"/>
              <w:cnfStyle w:val="000000100000" w:firstRow="0" w:lastRow="0" w:firstColumn="0" w:lastColumn="0" w:oddVBand="0" w:evenVBand="0" w:oddHBand="1" w:evenHBand="0" w:firstRowFirstColumn="0" w:firstRowLastColumn="0" w:lastRowFirstColumn="0" w:lastRowLastColumn="0"/>
              <w:rPr/>
            </w:pPr>
            <w:r>
              <w:rPr/>
              <w:t>JAV</w:t>
            </w:r>
          </w:p>
        </w:tc>
      </w:tr>
    </w:tbl>
    <w:p>
      <w:pPr>
        <w:pStyle w:val="Normal"/>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720" w:right="720" w:gutter="0" w:header="720" w:top="777" w:footer="431" w:bottom="720"/>
      <w:pgNumType w:start="0"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roman"/>
    <w:pitch w:val="variable"/>
  </w:font>
  <w:font w:name="Cambria">
    <w:charset w:val="00" w:characterSet="windows-1252"/>
    <w:family w:val="swiss"/>
    <w:pitch w:val="variable"/>
  </w:font>
  <w:font w:name="Courier New">
    <w:charset w:val="01"/>
    <w:family w:val="modern"/>
    <w:pitch w:val="fixed"/>
  </w:font>
  <w:font w:name="Noto Sans Symbols">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drawing>
        <wp:inline distT="0" distB="0" distL="0" distR="0">
          <wp:extent cx="394970" cy="510540"/>
          <wp:effectExtent l="0" t="0" r="0" b="0"/>
          <wp:docPr id="6" name="Image2" descr="Green Pa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Green Pace logo"/>
                  <pic:cNvPicPr>
                    <a:picLocks noChangeAspect="1" noChangeArrowheads="1"/>
                  </pic:cNvPicPr>
                </pic:nvPicPr>
                <pic:blipFill>
                  <a:blip r:embed="rId1"/>
                  <a:stretch>
                    <a:fillRect/>
                  </a:stretch>
                </pic:blipFill>
                <pic:spPr bwMode="auto">
                  <a:xfrm>
                    <a:off x="0" y="0"/>
                    <a:ext cx="394970" cy="510540"/>
                  </a:xfrm>
                  <a:prstGeom prst="rect">
                    <a:avLst/>
                  </a:prstGeom>
                  <a:noFill/>
                </pic:spPr>
              </pic:pic>
            </a:graphicData>
          </a:graphic>
        </wp:inline>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fldChar w:fldCharType="begin"/>
    </w:r>
    <w:r>
      <w:rPr/>
      <w:instrText xml:space="preserve"> PAGE </w:instrText>
    </w:r>
    <w:r>
      <w:rPr/>
      <w:fldChar w:fldCharType="separate"/>
    </w:r>
    <w:r>
      <w:rPr/>
      <w:t>31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2">
    <w:lvl w:ilvl="0">
      <w:start w:val="1"/>
      <w:numFmt w:val="decimal"/>
      <w:lvlText w:val="%1."/>
      <w:lvlJc w:val="start"/>
      <w:pPr>
        <w:tabs>
          <w:tab w:val="num" w:pos="0"/>
        </w:tabs>
        <w:ind w:start="720" w:hanging="360"/>
      </w:pPr>
      <w:rPr>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Noto Sans Symbols" w:hAnsi="Noto Sans Symbols" w:cs="Noto Sans Symbols" w:hint="default"/>
      </w:rPr>
    </w:lvl>
    <w:lvl w:ilvl="3">
      <w:start w:val="1"/>
      <w:numFmt w:val="bullet"/>
      <w:lvlText w:val="●"/>
      <w:lvlJc w:val="start"/>
      <w:pPr>
        <w:tabs>
          <w:tab w:val="num" w:pos="0"/>
        </w:tabs>
        <w:ind w:start="2880" w:hanging="360"/>
      </w:pPr>
      <w:rPr>
        <w:rFonts w:ascii="Noto Sans Symbols" w:hAnsi="Noto Sans Symbols" w:cs="Noto Sans Symbols"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Noto Sans Symbols" w:hAnsi="Noto Sans Symbols" w:cs="Noto Sans Symbols" w:hint="default"/>
      </w:rPr>
    </w:lvl>
    <w:lvl w:ilvl="6">
      <w:start w:val="1"/>
      <w:numFmt w:val="bullet"/>
      <w:lvlText w:val="●"/>
      <w:lvlJc w:val="start"/>
      <w:pPr>
        <w:tabs>
          <w:tab w:val="num" w:pos="0"/>
        </w:tabs>
        <w:ind w:start="5040" w:hanging="360"/>
      </w:pPr>
      <w:rPr>
        <w:rFonts w:ascii="Noto Sans Symbols" w:hAnsi="Noto Sans Symbols" w:cs="Noto Sans Symbols"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Noto Sans Symbols" w:hAnsi="Noto Sans Symbols" w:cs="Noto Sans Symbols" w:hint="default"/>
      </w:rPr>
    </w:lvl>
  </w:abstractNum>
  <w:abstractNum w:abstractNumId="4">
    <w:lvl w:ilvl="0">
      <w:start w:val="1"/>
      <w:numFmt w:val="lowerLetter"/>
      <w:lvlText w:val="%1."/>
      <w:lvlJc w:val="start"/>
      <w:pPr>
        <w:tabs>
          <w:tab w:val="num" w:pos="0"/>
        </w:tabs>
        <w:ind w:start="720" w:hanging="360"/>
      </w:pPr>
      <w:rPr>
        <w:u w:val="none"/>
      </w:rPr>
    </w:lvl>
    <w:lvl w:ilvl="1">
      <w:start w:val="1"/>
      <w:numFmt w:val="lowerRoman"/>
      <w:lvlText w:val="%2."/>
      <w:lvlJc w:val="end"/>
      <w:pPr>
        <w:tabs>
          <w:tab w:val="num" w:pos="0"/>
        </w:tabs>
        <w:ind w:start="1440" w:hanging="360"/>
      </w:pPr>
      <w:rPr>
        <w:u w:val="none"/>
      </w:rPr>
    </w:lvl>
    <w:lvl w:ilvl="2">
      <w:start w:val="1"/>
      <w:numFmt w:val="decimal"/>
      <w:lvlText w:val="%3."/>
      <w:lvlJc w:val="start"/>
      <w:pPr>
        <w:tabs>
          <w:tab w:val="num" w:pos="0"/>
        </w:tabs>
        <w:ind w:start="2160" w:hanging="360"/>
      </w:pPr>
      <w:rPr>
        <w:u w:val="none"/>
      </w:rPr>
    </w:lvl>
    <w:lvl w:ilvl="3">
      <w:start w:val="1"/>
      <w:numFmt w:val="lowerLetter"/>
      <w:lvlText w:val="%4."/>
      <w:lvlJc w:val="start"/>
      <w:pPr>
        <w:tabs>
          <w:tab w:val="num" w:pos="0"/>
        </w:tabs>
        <w:ind w:start="2880" w:hanging="360"/>
      </w:pPr>
      <w:rPr>
        <w:u w:val="none"/>
      </w:rPr>
    </w:lvl>
    <w:lvl w:ilvl="4">
      <w:start w:val="1"/>
      <w:numFmt w:val="lowerRoman"/>
      <w:lvlText w:val="%5."/>
      <w:lvlJc w:val="end"/>
      <w:pPr>
        <w:tabs>
          <w:tab w:val="num" w:pos="0"/>
        </w:tabs>
        <w:ind w:start="3600" w:hanging="360"/>
      </w:pPr>
      <w:rPr>
        <w:u w:val="none"/>
      </w:rPr>
    </w:lvl>
    <w:lvl w:ilvl="5">
      <w:start w:val="1"/>
      <w:numFmt w:val="decimal"/>
      <w:lvlText w:val="%6."/>
      <w:lvlJc w:val="start"/>
      <w:pPr>
        <w:tabs>
          <w:tab w:val="num" w:pos="0"/>
        </w:tabs>
        <w:ind w:start="4320" w:hanging="360"/>
      </w:pPr>
      <w:rPr>
        <w:u w:val="none"/>
      </w:rPr>
    </w:lvl>
    <w:lvl w:ilvl="6">
      <w:start w:val="1"/>
      <w:numFmt w:val="lowerLetter"/>
      <w:lvlText w:val="%7."/>
      <w:lvlJc w:val="start"/>
      <w:pPr>
        <w:tabs>
          <w:tab w:val="num" w:pos="0"/>
        </w:tabs>
        <w:ind w:start="5040" w:hanging="360"/>
      </w:pPr>
      <w:rPr>
        <w:u w:val="none"/>
      </w:rPr>
    </w:lvl>
    <w:lvl w:ilvl="7">
      <w:start w:val="1"/>
      <w:numFmt w:val="lowerRoman"/>
      <w:lvlText w:val="%8."/>
      <w:lvlJc w:val="end"/>
      <w:pPr>
        <w:tabs>
          <w:tab w:val="num" w:pos="0"/>
        </w:tabs>
        <w:ind w:start="5760" w:hanging="360"/>
      </w:pPr>
      <w:rPr>
        <w:u w:val="none"/>
      </w:rPr>
    </w:lvl>
    <w:lvl w:ilvl="8">
      <w:start w:val="1"/>
      <w:numFmt w:val="decimal"/>
      <w:lvlText w:val="%9."/>
      <w:lvlJc w:val="start"/>
      <w:pPr>
        <w:tabs>
          <w:tab w:val="num" w:pos="0"/>
        </w:tabs>
        <w:ind w:start="6480" w:hanging="360"/>
      </w:pPr>
      <w:rPr>
        <w:u w:val="none"/>
      </w:rPr>
    </w:lvl>
  </w:abstractNum>
  <w:abstractNum w:abstractNumId="5">
    <w:lvl w:ilvl="0">
      <w:start w:val="1"/>
      <w:numFmt w:val="decimal"/>
      <w:lvlText w:val="%1."/>
      <w:lvlJc w:val="start"/>
      <w:pPr>
        <w:tabs>
          <w:tab w:val="num" w:pos="0"/>
        </w:tabs>
        <w:ind w:start="720" w:hanging="360"/>
      </w:pPr>
      <w:rPr>
        <w:b w:val="false"/>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d6f4a"/>
    <w:pPr>
      <w:widowControl/>
      <w:bidi w:val="0"/>
      <w:spacing w:before="0" w:after="0"/>
      <w:jc w:val="start"/>
    </w:pPr>
    <w:rPr>
      <w:rFonts w:ascii="Calibri" w:hAnsi="Calibri" w:eastAsia="Calibri" w:cs="Calibri"/>
      <w:color w:val="auto"/>
      <w:kern w:val="0"/>
      <w:sz w:val="24"/>
      <w:szCs w:val="24"/>
      <w:lang w:val="en-US" w:eastAsia="en-US" w:bidi="ar-SA"/>
    </w:rPr>
  </w:style>
  <w:style w:type="paragraph" w:styleId="Heading1">
    <w:name w:val="heading 1"/>
    <w:basedOn w:val="Title"/>
    <w:next w:val="Normal"/>
    <w:uiPriority w:val="9"/>
    <w:qFormat/>
    <w:rsid w:val="00e170f5"/>
    <w:pPr>
      <w:outlineLvl w:val="0"/>
    </w:pPr>
    <w:rPr>
      <w:rFonts w:ascii="Calibri" w:hAnsi="Calibri" w:eastAsia="Calibri" w:cs="Calibri"/>
    </w:rPr>
  </w:style>
  <w:style w:type="paragraph" w:styleId="Heading2">
    <w:name w:val="heading 2"/>
    <w:basedOn w:val="Normal"/>
    <w:next w:val="Normal"/>
    <w:uiPriority w:val="9"/>
    <w:unhideWhenUsed/>
    <w:qFormat/>
    <w:rsid w:val="0059536c"/>
    <w:pPr>
      <w:suppressAutoHyphens w:val="true"/>
      <w:spacing w:before="0" w:after="0"/>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val="true"/>
      <w:spacing w:before="0" w:after="0"/>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CommentTextChar" w:customStyle="1">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BalloonTextChar" w:customStyle="1">
    <w:name w:val="Balloon Text Char"/>
    <w:basedOn w:val="DefaultParagraphFont"/>
    <w:link w:val="BalloonText"/>
    <w:uiPriority w:val="99"/>
    <w:semiHidden/>
    <w:qFormat/>
    <w:rsid w:val="00fc5cf4"/>
    <w:rPr>
      <w:rFonts w:ascii="Times New Roman" w:hAnsi="Times New Roman" w:cs="Times New Roman"/>
      <w:sz w:val="18"/>
      <w:szCs w:val="18"/>
    </w:rPr>
  </w:style>
  <w:style w:type="character" w:styleId="HeaderChar" w:customStyle="1">
    <w:name w:val="Header Char"/>
    <w:basedOn w:val="DefaultParagraphFont"/>
    <w:link w:val="Header"/>
    <w:uiPriority w:val="99"/>
    <w:qFormat/>
    <w:rsid w:val="00101087"/>
    <w:rPr/>
  </w:style>
  <w:style w:type="character" w:styleId="FooterChar" w:customStyle="1">
    <w:name w:val="Footer Char"/>
    <w:basedOn w:val="DefaultParagraphFont"/>
    <w:link w:val="Footer"/>
    <w:uiPriority w:val="99"/>
    <w:qFormat/>
    <w:rsid w:val="00101087"/>
    <w:rPr/>
  </w:style>
  <w:style w:type="character" w:styleId="Hyperlink">
    <w:name w:val="Hyperlink"/>
    <w:basedOn w:val="DefaultParagraphFont"/>
    <w:uiPriority w:val="99"/>
    <w:unhideWhenUsed/>
    <w:rsid w:val="00f7078d"/>
    <w:rPr>
      <w:color w:themeColor="hyperlink" w:val="0000FF"/>
      <w:u w:val="single"/>
    </w:rPr>
  </w:style>
  <w:style w:type="character" w:styleId="CommentSubjectChar" w:customStyle="1">
    <w:name w:val="Comment Subject Char"/>
    <w:basedOn w:val="CommentTextChar"/>
    <w:link w:val="annotationsubject"/>
    <w:uiPriority w:val="99"/>
    <w:semiHidden/>
    <w:qFormat/>
    <w:rsid w:val="001b38a3"/>
    <w:rPr>
      <w:b/>
      <w:bCs/>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Normal"/>
    <w:uiPriority w:val="99"/>
    <w:unhideWhenUsed/>
    <w:rsid w:val="008d5a8d"/>
    <w:pPr>
      <w:numPr>
        <w:ilvl w:val="1"/>
        <w:numId w:val="5"/>
      </w:numPr>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jc w:val="center"/>
    </w:pPr>
    <w:rPr>
      <w:rFonts w:ascii="Times New Roman" w:hAnsi="Times New Roman" w:eastAsia="Times New Roman" w:cs="Times New Roman"/>
      <w:b/>
    </w:rPr>
  </w:style>
  <w:style w:type="paragraph" w:styleId="Subtitle">
    <w:name w:val="Subtitle"/>
    <w:basedOn w:val="Normal"/>
    <w:next w:val="Normal"/>
    <w:qFormat/>
    <w:pPr>
      <w:keepNext w:val="true"/>
      <w:keepLines/>
      <w:spacing w:before="360" w:after="80"/>
    </w:pPr>
    <w:rPr>
      <w:rFonts w:ascii="Georgia" w:hAnsi="Georgia" w:eastAsia="Georgia" w:cs="Georgia"/>
      <w:i/>
      <w:color w:val="666666"/>
      <w:sz w:val="48"/>
      <w:szCs w:val="48"/>
    </w:rPr>
  </w:style>
  <w:style w:type="paragraph" w:styleId="CommentText">
    <w:name w:val="annotation text"/>
    <w:basedOn w:val="Normal"/>
    <w:link w:val="CommentTextChar"/>
    <w:uiPriority w:val="99"/>
    <w:semiHidden/>
    <w:unhideWhenUsed/>
    <w:pPr/>
    <w:rPr>
      <w:sz w:val="20"/>
      <w:szCs w:val="20"/>
    </w:rPr>
  </w:style>
  <w:style w:type="paragraph" w:styleId="BalloonText">
    <w:name w:val="Balloon Text"/>
    <w:basedOn w:val="Normal"/>
    <w:link w:val="BalloonTextChar"/>
    <w:uiPriority w:val="99"/>
    <w:semiHidden/>
    <w:unhideWhenUsed/>
    <w:qFormat/>
    <w:rsid w:val="00fc5cf4"/>
    <w:pPr/>
    <w:rPr>
      <w:rFonts w:ascii="Times New Roman" w:hAnsi="Times New Roman" w:cs="Times New Roman"/>
      <w:sz w:val="18"/>
      <w:szCs w:val="18"/>
    </w:rPr>
  </w:style>
  <w:style w:type="paragraph" w:styleId="ListParagraph">
    <w:name w:val="List Paragraph"/>
    <w:basedOn w:val="Normal"/>
    <w:uiPriority w:val="34"/>
    <w:qFormat/>
    <w:rsid w:val="00fc2167"/>
    <w:pPr>
      <w:spacing w:before="0" w:after="0"/>
      <w:ind w:start="720"/>
      <w:contextualSpacing/>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101087"/>
    <w:pPr>
      <w:tabs>
        <w:tab w:val="clear" w:pos="720"/>
        <w:tab w:val="center" w:pos="4680" w:leader="none"/>
        <w:tab w:val="right" w:pos="9360" w:leader="none"/>
      </w:tabs>
    </w:pPr>
    <w:rPr/>
  </w:style>
  <w:style w:type="paragraph" w:styleId="Footer">
    <w:name w:val="footer"/>
    <w:basedOn w:val="Normal"/>
    <w:link w:val="FooterChar"/>
    <w:uiPriority w:val="99"/>
    <w:unhideWhenUsed/>
    <w:rsid w:val="00101087"/>
    <w:pPr>
      <w:tabs>
        <w:tab w:val="clear" w:pos="720"/>
        <w:tab w:val="center" w:pos="4680" w:leader="none"/>
        <w:tab w:val="right" w:pos="9360" w:leader="none"/>
      </w:tabs>
    </w:pPr>
    <w:rPr/>
  </w:style>
  <w:style w:type="paragraph" w:styleId="TOC1">
    <w:name w:val="toc 1"/>
    <w:basedOn w:val="Normal"/>
    <w:next w:val="Normal"/>
    <w:autoRedefine/>
    <w:uiPriority w:val="39"/>
    <w:unhideWhenUsed/>
    <w:rsid w:val="00e769d9"/>
    <w:pPr>
      <w:spacing w:before="0" w:after="60"/>
    </w:pPr>
    <w:rPr/>
  </w:style>
  <w:style w:type="paragraph" w:styleId="TOC2">
    <w:name w:val="toc 2"/>
    <w:basedOn w:val="Normal"/>
    <w:next w:val="Normal"/>
    <w:autoRedefine/>
    <w:uiPriority w:val="39"/>
    <w:unhideWhenUsed/>
    <w:rsid w:val="00f7078d"/>
    <w:pPr>
      <w:spacing w:before="0" w:after="100"/>
      <w:ind w:start="240"/>
    </w:pPr>
    <w:rPr/>
  </w:style>
  <w:style w:type="paragraph" w:styleId="TOC3">
    <w:name w:val="toc 3"/>
    <w:basedOn w:val="Normal"/>
    <w:next w:val="Normal"/>
    <w:autoRedefine/>
    <w:uiPriority w:val="39"/>
    <w:unhideWhenUsed/>
    <w:rsid w:val="00e769d9"/>
    <w:pPr>
      <w:tabs>
        <w:tab w:val="clear" w:pos="720"/>
        <w:tab w:val="right" w:pos="10790" w:leader="none"/>
      </w:tabs>
      <w:spacing w:before="0" w:after="100"/>
      <w:ind w:start="480"/>
    </w:pPr>
    <w:rPr/>
  </w:style>
  <w:style w:type="paragraph" w:styleId="annotationsubject">
    <w:name w:val="annotation subject"/>
    <w:basedOn w:val="CommentText"/>
    <w:next w:val="CommentText"/>
    <w:link w:val="CommentSubjectChar"/>
    <w:uiPriority w:val="99"/>
    <w:semiHidden/>
    <w:unhideWhenUsed/>
    <w:qFormat/>
    <w:rsid w:val="001b38a3"/>
    <w:pPr/>
    <w:rPr>
      <w:b/>
      <w:bCs/>
    </w:rPr>
  </w:style>
  <w:style w:type="paragraph" w:styleId="NormalWeb">
    <w:name w:val="Normal (Web)"/>
    <w:basedOn w:val="Normal"/>
    <w:uiPriority w:val="99"/>
    <w:semiHidden/>
    <w:unhideWhenUsed/>
    <w:qFormat/>
    <w:rsid w:val="00ca3e04"/>
    <w:pPr>
      <w:spacing w:beforeAutospacing="1" w:afterAutospacing="1"/>
    </w:pPr>
    <w:rPr>
      <w:rFonts w:ascii="Times New Roman" w:hAnsi="Times New Roman" w:eastAsia="Times New Roman" w:cs="Times New Roman"/>
    </w:rPr>
  </w:style>
  <w:style w:type="paragraph" w:styleId="ListBullet">
    <w:name w:val="List Bullet"/>
    <w:basedOn w:val="Normal"/>
    <w:uiPriority w:val="99"/>
    <w:unhideWhenUsed/>
    <w:rsid w:val="008d5a8d"/>
    <w:pPr>
      <w:numPr>
        <w:ilvl w:val="0"/>
        <w:numId w:val="3"/>
      </w:numPr>
      <w:pBdr/>
      <w:ind w:start="1440"/>
    </w:pPr>
    <w:rPr>
      <w:color w:val="000000"/>
    </w:rPr>
  </w:style>
  <w:style w:type="paragraph" w:styleId="ListBullet2">
    <w:name w:val="List Bullet 2"/>
    <w:basedOn w:val="Normal"/>
    <w:uiPriority w:val="99"/>
    <w:unhideWhenUsed/>
    <w:rsid w:val="008d5a8d"/>
    <w:pPr>
      <w:numPr>
        <w:ilvl w:val="0"/>
        <w:numId w:val="1"/>
      </w:numPr>
      <w:pBdr/>
    </w:pPr>
    <w:rPr/>
  </w:style>
  <w:style w:type="paragraph" w:styleId="Revision">
    <w:name w:val="Revision"/>
    <w:uiPriority w:val="99"/>
    <w:semiHidden/>
    <w:qFormat/>
    <w:rsid w:val="00973b67"/>
    <w:pPr>
      <w:widowControl/>
      <w:bidi w:val="0"/>
      <w:spacing w:before="0" w:after="0"/>
      <w:jc w:val="start"/>
    </w:pPr>
    <w:rPr>
      <w:rFonts w:ascii="Calibri" w:hAnsi="Calibri" w:eastAsia="Calibri" w:cs="Calibri"/>
      <w:color w:val="auto"/>
      <w:kern w:val="0"/>
      <w:sz w:val="24"/>
      <w:szCs w:val="24"/>
      <w:lang w:val="en-US" w:eastAsia="en-US"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linkedin.com/pulse/understanding-hierarchy-principles-policies-standards-wally-beddoe/" TargetMode="Externa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Relationship Id="rId17" Type="http://schemas.openxmlformats.org/officeDocument/2006/relationships/customXml" Target="../customXml/item2.xml"/><Relationship Id="rId18" Type="http://schemas.openxmlformats.org/officeDocument/2006/relationships/customXml" Target="../customXml/item3.xml"/><Relationship Id="rId19" Type="http://schemas.openxmlformats.org/officeDocument/2006/relationships/customXml" Target="../customXml/item4.xml"/>
</Relationships>
</file>

<file path=word/_rels/footer2.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75</TotalTime>
  <Application>LibreOffice/26.2.0.3$Windows_X86_64 LibreOffice_project/620$Build-3</Application>
  <AppVersion>15.0000</AppVersion>
  <Pages>32</Pages>
  <Words>6574</Words>
  <Characters>39228</Characters>
  <CharactersWithSpaces>45555</CharactersWithSpaces>
  <Paragraphs>713</Paragraphs>
  <Company>SNHU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2020-11-20T18:42:00Z</dcterms:created>
  <dc:creator>Gutschow, Molly</dc:creator>
  <dc:description/>
  <dc:language>en-US</dc:language>
  <cp:lastModifiedBy/>
  <dcterms:modified xsi:type="dcterms:W3CDTF">2026-04-09T20:11:03Z</dcterms:modified>
  <cp:revision>26</cp:revision>
  <dc:subject/>
  <dc:title>Green Pace Secure Development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