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 可选</w:t>
      </w:r>
      <w:bookmarkStart w:id="12" w:name="_GoBack"/>
      <w:bookmarkEnd w:id="12"/>
      <w:r>
        <w:rPr>
          <w:rFonts w:hint="eastAsia" w:asciiTheme="minorEastAsia" w:hAnsiTheme="minorEastAsia" w:eastAsiaTheme="minorEastAsia" w:cstheme="minorEastAsia"/>
          <w:sz w:val="21"/>
          <w:szCs w:val="21"/>
        </w:rPr>
        <w:t>择的其他系统方案</w:t>
      </w:r>
    </w:p>
    <w:p>
      <w:pPr>
        <w:pStyle w:val="3"/>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 其他系统方案1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自我打造出一个全新智能机器人客服系统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1，基础功能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（1）欢迎词：开始会话时，向访客自动推送欢迎词。如图1示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（2）轨迹跟踪：自动跟踪发送访客的访问轨迹。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（3）富媒体消息互动：文字、表情、语音、图片、位置、微视频、自定义消息等实时交互。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（4）常见问题及自动回复：通过与知识库集成，可自动回复常见问题。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3038475" cy="2724150"/>
            <wp:effectExtent l="0" t="0" r="9525" b="0"/>
            <wp:docPr id="1" name="图片 1" descr="C:\Users\ADMINI~1\AppData\Local\Te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0.png"/>
                    <pic:cNvPicPr>
                      <a:picLocks noChangeAspect="1" noChangeArrowheads="1"/>
                    </pic:cNvPicPr>
                  </pic:nvPicPr>
                  <pic:blipFill>
                    <a:blip r:embed="rId4">
                      <a:extLst>
                        <a:ext uri="{28A0092B-C50C-407E-A947-70E740481C1C}">
                          <a14:useLocalDpi xmlns:a14="http://schemas.microsoft.com/office/drawing/2010/main" val="0"/>
                        </a:ext>
                      </a:extLst>
                    </a:blip>
                    <a:srcRect l="19104" r="5660" b="2005"/>
                    <a:stretch>
                      <a:fillRect/>
                    </a:stretch>
                  </pic:blipFill>
                  <pic:spPr>
                    <a:xfrm>
                      <a:off x="0" y="0"/>
                      <a:ext cx="3043138" cy="2728331"/>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图1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2，拓展增强功能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（1）全渠道管理：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APP、邮件、电话、微博、微信、PC网站、Html5手机网站等渠道统一连接，客服人员只需统一管理分配和响应回复。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（2），客服工单：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客服工单将所有用户的意见都纳入进来并逐条列出，以供你浏览或搜索。它让你方便地查看用户资料，回复用户反馈、为它们打标签，或更改其处理状态。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（3），多维度用户数据分析：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轨迹分析：分析访客的访问行为轨迹，有助于全面了解访客的爱好等。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位置分析：分析访客的地理位置，有助于用户的行为分析。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使用分析：分析访客对应用的喜爱程度。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（4），利用大数据，把流量转化为销量：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实时跟踪访问轨迹，基于用户行为数据，聚焦高意向用户，多种互动方式，一对一个性化营销，实时激发用户购买欲望。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（5），云知识库：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基于工单和即时IM构建完整知识库，实现自我成长。利用知识库让用户立即自助解决问题。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（6），云呼叫中心：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不换号，不占线，不跑营业厅。为企业客户提供云端总机服务，在无需购买硬件通信设备的条件下满足企业通信管理、号码管理等云端通信需求。</w:t>
      </w:r>
    </w:p>
    <w:p>
      <w:pPr>
        <w:pStyle w:val="3"/>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 其他系统方案2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购买智能云腾讯客服系统。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原因在于功能的多样性以及云数据技术的支持。并且随着人工智能、大数据以及云计算等领域的技术逐渐发展，腾讯云针对智能业务特性，打造了全天候在线的智能客服解决方案，能够帮助企业解决 80% 的常见问题；全量语音质检提升服务质量；以先进的人工智能技术助力业务分析，提升业务洞察力，为企业提供更方便的工作方式。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并且这个系统可以应用在多个使用场景：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（1）金融：金融客户身份鉴定，语音记录合规检查。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推荐产品：智能语音服务，文智自然语言处理，机器学习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（2）电商：销售全程在线咨询，客户商业价值挖掘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推荐产品：微金小云客服，智能语音服务，文智自然语言处理，机智机器学习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（3）O2O：客户隐私保护最大化，挖掘服务问题提升服务质量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推荐产品：PSTN 多方通话，智能语音服务，文智自然语言处理，机智机器学习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（4）旅游：旅游规划咨询，旅游客服记录分析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推荐产品：智能语音服务，微金小云客服，文智自然语言处理，机智机器学习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（5）物流：智能物流客服服务，客户隐私保护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推荐产品：文智自然语言处理，机智机器学习，PSTN 多方通话腾讯云优势：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另外还能辅助商业决策：客服语音记录转文字，利用自然语言处理技术分析文本，挖掘客户信息，辅助制定企业商业策略。当然最大的优势便是全天候在线：7*24 小时全天候在线智能客服，系统稳定性高，可同时接入大量客户，无需排队等候。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腾讯云的各行业解决方案，以其强大的技术能力和实用的·应用场景等优势帮助企业提升效率和提高安全防护等，江苏微盛网络科技有限公司是腾讯云小程序联合解决方案合作厂商，如需购买腾讯云可联系微盛网络客服可享受优惠，并为您提供7x24技术服务。</w:t>
      </w:r>
    </w:p>
    <w:p>
      <w:pPr>
        <w:pStyle w:val="2"/>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0" w:name="_Toc257919139"/>
      <w:bookmarkStart w:id="1" w:name="_Toc257919140"/>
      <w:r>
        <w:rPr>
          <w:rFonts w:hint="eastAsia" w:asciiTheme="minorEastAsia" w:hAnsiTheme="minorEastAsia" w:eastAsiaTheme="minorEastAsia" w:cstheme="minorEastAsia"/>
          <w:sz w:val="21"/>
          <w:szCs w:val="21"/>
        </w:rPr>
        <w:t>6投资及效益分析</w:t>
      </w:r>
      <w:bookmarkEnd w:id="0"/>
    </w:p>
    <w:p>
      <w:pPr>
        <w:pStyle w:val="3"/>
        <w:pageBreakBefore w:val="0"/>
        <w:kinsoku/>
        <w:wordWrap/>
        <w:overflowPunct/>
        <w:topLinePunct w:val="0"/>
        <w:autoSpaceDE/>
        <w:autoSpaceDN/>
        <w:bidi w:val="0"/>
        <w:adjustRightInd/>
        <w:snapToGrid/>
        <w:spacing w:line="360" w:lineRule="auto"/>
        <w:ind w:firstLine="422" w:firstLineChars="200"/>
        <w:textAlignment w:val="auto"/>
        <w:rPr>
          <w:rFonts w:hint="eastAsia"/>
        </w:rPr>
      </w:pPr>
      <w:r>
        <w:rPr>
          <w:rFonts w:hint="eastAsia" w:asciiTheme="minorEastAsia" w:hAnsiTheme="minorEastAsia" w:eastAsiaTheme="minorEastAsia" w:cstheme="minorEastAsia"/>
          <w:sz w:val="21"/>
          <w:szCs w:val="21"/>
        </w:rPr>
        <w:t>6.1支出</w:t>
      </w:r>
      <w:bookmarkEnd w:id="1"/>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支出包括</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eastAsia="zh-CN"/>
        </w:rPr>
        <w:t>基本建设投资和一次性支出和非一次性支出，其中基本建设投资为：</w:t>
      </w:r>
      <w:r>
        <w:rPr>
          <w:rFonts w:hint="eastAsia" w:asciiTheme="minorEastAsia" w:hAnsiTheme="minorEastAsia" w:eastAsiaTheme="minorEastAsia" w:cstheme="minorEastAsia"/>
          <w:sz w:val="21"/>
          <w:szCs w:val="21"/>
          <w:lang w:val="en-US" w:eastAsia="zh-CN"/>
        </w:rPr>
        <w:t>24000</w:t>
      </w:r>
      <w:r>
        <w:rPr>
          <w:rFonts w:hint="eastAsia" w:asciiTheme="minorEastAsia" w:hAnsiTheme="minorEastAsia" w:eastAsiaTheme="minorEastAsia" w:cstheme="minorEastAsia"/>
          <w:sz w:val="21"/>
          <w:szCs w:val="21"/>
          <w:lang w:eastAsia="zh-CN"/>
        </w:rPr>
        <w:t>元，次性支出为：</w:t>
      </w:r>
      <w:r>
        <w:rPr>
          <w:rFonts w:hint="eastAsia" w:asciiTheme="minorEastAsia" w:hAnsiTheme="minorEastAsia" w:eastAsiaTheme="minorEastAsia" w:cstheme="minorEastAsia"/>
          <w:sz w:val="21"/>
          <w:szCs w:val="21"/>
          <w:lang w:val="en-US" w:eastAsia="zh-CN"/>
        </w:rPr>
        <w:t>10500</w:t>
      </w:r>
      <w:r>
        <w:rPr>
          <w:rFonts w:hint="eastAsia" w:asciiTheme="minorEastAsia" w:hAnsiTheme="minorEastAsia" w:eastAsiaTheme="minorEastAsia" w:cstheme="minorEastAsia"/>
          <w:sz w:val="21"/>
          <w:szCs w:val="21"/>
          <w:lang w:eastAsia="zh-CN"/>
        </w:rPr>
        <w:t>元，非一次性支出为：</w:t>
      </w:r>
      <w:r>
        <w:rPr>
          <w:rFonts w:hint="eastAsia" w:asciiTheme="minorEastAsia" w:hAnsiTheme="minorEastAsia" w:eastAsiaTheme="minorEastAsia" w:cstheme="minorEastAsia"/>
          <w:sz w:val="21"/>
          <w:szCs w:val="21"/>
          <w:lang w:val="en-US" w:eastAsia="zh-CN"/>
        </w:rPr>
        <w:t>12000</w:t>
      </w:r>
      <w:r>
        <w:rPr>
          <w:rFonts w:hint="eastAsia" w:asciiTheme="minorEastAsia" w:hAnsiTheme="minorEastAsia" w:eastAsiaTheme="minorEastAsia" w:cstheme="minorEastAsia"/>
          <w:sz w:val="21"/>
          <w:szCs w:val="21"/>
          <w:lang w:eastAsia="zh-CN"/>
        </w:rPr>
        <w:t>元．共计：４６５００元。</w:t>
      </w: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2" w:name="_Toc257919141"/>
      <w:r>
        <w:rPr>
          <w:rFonts w:hint="eastAsia" w:asciiTheme="minorEastAsia" w:hAnsiTheme="minorEastAsia" w:eastAsiaTheme="minorEastAsia" w:cstheme="minorEastAsia"/>
          <w:sz w:val="21"/>
          <w:szCs w:val="21"/>
        </w:rPr>
        <w:t>6.1.1基本建设投资</w:t>
      </w:r>
      <w:bookmarkEnd w:id="2"/>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包括采购、开发和安装下列各项所需的费用，如：</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房屋和设施；</w:t>
      </w:r>
      <w:r>
        <w:rPr>
          <w:rFonts w:hint="eastAsia" w:asciiTheme="minorEastAsia" w:hAnsiTheme="minorEastAsia" w:eastAsiaTheme="minorEastAsia" w:cstheme="minorEastAsia"/>
          <w:sz w:val="21"/>
          <w:szCs w:val="21"/>
          <w:lang w:val="en-US" w:eastAsia="zh-CN"/>
        </w:rPr>
        <w:t>10000元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ADP设备；</w:t>
      </w:r>
      <w:r>
        <w:rPr>
          <w:rFonts w:hint="eastAsia" w:asciiTheme="minorEastAsia" w:hAnsiTheme="minorEastAsia" w:eastAsiaTheme="minorEastAsia" w:cstheme="minorEastAsia"/>
          <w:sz w:val="21"/>
          <w:szCs w:val="21"/>
          <w:lang w:val="en-US" w:eastAsia="zh-CN"/>
        </w:rPr>
        <w:t>5000元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数据通讯设备；</w:t>
      </w:r>
      <w:r>
        <w:rPr>
          <w:rFonts w:hint="eastAsia" w:asciiTheme="minorEastAsia" w:hAnsiTheme="minorEastAsia" w:eastAsiaTheme="minorEastAsia" w:cstheme="minorEastAsia"/>
          <w:sz w:val="21"/>
          <w:szCs w:val="21"/>
          <w:lang w:val="en-US" w:eastAsia="zh-CN"/>
        </w:rPr>
        <w:t>3000元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环境保护设备；</w:t>
      </w:r>
      <w:r>
        <w:rPr>
          <w:rFonts w:hint="eastAsia" w:asciiTheme="minorEastAsia" w:hAnsiTheme="minorEastAsia" w:eastAsiaTheme="minorEastAsia" w:cstheme="minorEastAsia"/>
          <w:sz w:val="21"/>
          <w:szCs w:val="21"/>
          <w:lang w:val="en-US" w:eastAsia="zh-CN"/>
        </w:rPr>
        <w:t>1000元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安全与保密设备；</w:t>
      </w:r>
      <w:r>
        <w:rPr>
          <w:rFonts w:hint="eastAsia" w:asciiTheme="minorEastAsia" w:hAnsiTheme="minorEastAsia" w:eastAsiaTheme="minorEastAsia" w:cstheme="minorEastAsia"/>
          <w:sz w:val="21"/>
          <w:szCs w:val="21"/>
          <w:lang w:val="en-US" w:eastAsia="zh-CN"/>
        </w:rPr>
        <w:t>1000元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ADP操作系统的和应用的软件；</w:t>
      </w:r>
      <w:r>
        <w:rPr>
          <w:rFonts w:hint="eastAsia" w:asciiTheme="minorEastAsia" w:hAnsiTheme="minorEastAsia" w:eastAsiaTheme="minorEastAsia" w:cstheme="minorEastAsia"/>
          <w:sz w:val="21"/>
          <w:szCs w:val="21"/>
          <w:lang w:val="en-US" w:eastAsia="zh-CN"/>
        </w:rPr>
        <w:t>2000元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数据库管理软件。</w:t>
      </w:r>
      <w:r>
        <w:rPr>
          <w:rFonts w:hint="eastAsia" w:asciiTheme="minorEastAsia" w:hAnsiTheme="minorEastAsia" w:eastAsiaTheme="minorEastAsia" w:cstheme="minorEastAsia"/>
          <w:sz w:val="21"/>
          <w:szCs w:val="21"/>
          <w:lang w:val="en-US" w:eastAsia="zh-CN"/>
        </w:rPr>
        <w:t>2000元</w:t>
      </w:r>
    </w:p>
    <w:p>
      <w:pPr>
        <w:pageBreakBefore w:val="0"/>
        <w:numPr>
          <w:ilvl w:val="0"/>
          <w:numId w:val="0"/>
        </w:numPr>
        <w:kinsoku/>
        <w:wordWrap/>
        <w:overflowPunct/>
        <w:topLinePunct w:val="0"/>
        <w:autoSpaceDE/>
        <w:autoSpaceDN/>
        <w:bidi w:val="0"/>
        <w:adjustRightInd/>
        <w:snapToGrid/>
        <w:spacing w:line="360" w:lineRule="auto"/>
        <w:ind w:left="360" w:leftChars="0" w:firstLine="420" w:firstLineChars="20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共计：24000元</w:t>
      </w: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3" w:name="_Toc257919142"/>
      <w:r>
        <w:rPr>
          <w:rFonts w:hint="eastAsia" w:asciiTheme="minorEastAsia" w:hAnsiTheme="minorEastAsia" w:eastAsiaTheme="minorEastAsia" w:cstheme="minorEastAsia"/>
          <w:sz w:val="21"/>
          <w:szCs w:val="21"/>
        </w:rPr>
        <w:t>6.1.2其他一次性支出</w:t>
      </w:r>
      <w:bookmarkEnd w:id="3"/>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包括下列各项所需的费用，如：</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研究（需求的研究和设计的研究）；</w:t>
      </w:r>
      <w:r>
        <w:rPr>
          <w:rFonts w:hint="eastAsia" w:asciiTheme="minorEastAsia" w:hAnsiTheme="minorEastAsia" w:eastAsiaTheme="minorEastAsia" w:cstheme="minorEastAsia"/>
          <w:sz w:val="21"/>
          <w:szCs w:val="21"/>
          <w:lang w:val="en-US" w:eastAsia="zh-CN"/>
        </w:rPr>
        <w:t>1000元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开发计划与测量基准的研究；</w:t>
      </w:r>
      <w:r>
        <w:rPr>
          <w:rFonts w:hint="eastAsia" w:asciiTheme="minorEastAsia" w:hAnsiTheme="minorEastAsia" w:eastAsiaTheme="minorEastAsia" w:cstheme="minorEastAsia"/>
          <w:sz w:val="21"/>
          <w:szCs w:val="21"/>
          <w:lang w:val="en-US" w:eastAsia="zh-CN"/>
        </w:rPr>
        <w:t>1000元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数据库的建立；</w:t>
      </w:r>
      <w:r>
        <w:rPr>
          <w:rFonts w:hint="eastAsia" w:asciiTheme="minorEastAsia" w:hAnsiTheme="minorEastAsia" w:eastAsiaTheme="minorEastAsia" w:cstheme="minorEastAsia"/>
          <w:sz w:val="21"/>
          <w:szCs w:val="21"/>
          <w:lang w:val="en-US" w:eastAsia="zh-CN"/>
        </w:rPr>
        <w:t>1000元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ADP软件的转换；</w:t>
      </w:r>
      <w:r>
        <w:rPr>
          <w:rFonts w:hint="eastAsia" w:asciiTheme="minorEastAsia" w:hAnsiTheme="minorEastAsia" w:eastAsiaTheme="minorEastAsia" w:cstheme="minorEastAsia"/>
          <w:sz w:val="21"/>
          <w:szCs w:val="21"/>
          <w:lang w:val="en-US" w:eastAsia="zh-CN"/>
        </w:rPr>
        <w:t>1500元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检查费用和技术管理性费用；</w:t>
      </w:r>
      <w:r>
        <w:rPr>
          <w:rFonts w:hint="eastAsia" w:asciiTheme="minorEastAsia" w:hAnsiTheme="minorEastAsia" w:eastAsiaTheme="minorEastAsia" w:cstheme="minorEastAsia"/>
          <w:sz w:val="21"/>
          <w:szCs w:val="21"/>
          <w:lang w:val="en-US" w:eastAsia="zh-CN"/>
        </w:rPr>
        <w:t>2000元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培训费、旅差费以及开发安装人员所需要的一次性支出；</w:t>
      </w:r>
      <w:r>
        <w:rPr>
          <w:rFonts w:hint="eastAsia" w:asciiTheme="minorEastAsia" w:hAnsiTheme="minorEastAsia" w:eastAsiaTheme="minorEastAsia" w:cstheme="minorEastAsia"/>
          <w:sz w:val="21"/>
          <w:szCs w:val="21"/>
          <w:lang w:val="en-US" w:eastAsia="zh-CN"/>
        </w:rPr>
        <w:t>2000元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人员的退休及调动费用等。</w:t>
      </w:r>
      <w:r>
        <w:rPr>
          <w:rFonts w:hint="eastAsia" w:asciiTheme="minorEastAsia" w:hAnsiTheme="minorEastAsia" w:eastAsiaTheme="minorEastAsia" w:cstheme="minorEastAsia"/>
          <w:sz w:val="21"/>
          <w:szCs w:val="21"/>
          <w:lang w:val="en-US" w:eastAsia="zh-CN"/>
        </w:rPr>
        <w:t>2000元</w:t>
      </w:r>
    </w:p>
    <w:p>
      <w:pPr>
        <w:pageBreakBefore w:val="0"/>
        <w:numPr>
          <w:ilvl w:val="0"/>
          <w:numId w:val="0"/>
        </w:numPr>
        <w:kinsoku/>
        <w:wordWrap/>
        <w:overflowPunct/>
        <w:topLinePunct w:val="0"/>
        <w:autoSpaceDE/>
        <w:autoSpaceDN/>
        <w:bidi w:val="0"/>
        <w:adjustRightInd/>
        <w:snapToGrid/>
        <w:spacing w:line="360" w:lineRule="auto"/>
        <w:ind w:left="360" w:leftChars="0" w:firstLine="420" w:firstLineChars="20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共计：10500元</w:t>
      </w:r>
    </w:p>
    <w:p>
      <w:pPr>
        <w:pageBreakBefore w:val="0"/>
        <w:numPr>
          <w:ilvl w:val="0"/>
          <w:numId w:val="0"/>
        </w:numPr>
        <w:kinsoku/>
        <w:wordWrap/>
        <w:overflowPunct/>
        <w:topLinePunct w:val="0"/>
        <w:autoSpaceDE/>
        <w:autoSpaceDN/>
        <w:bidi w:val="0"/>
        <w:adjustRightInd/>
        <w:snapToGrid/>
        <w:spacing w:line="360" w:lineRule="auto"/>
        <w:ind w:left="420" w:leftChars="0" w:firstLine="420" w:firstLineChars="200"/>
        <w:textAlignment w:val="auto"/>
        <w:rPr>
          <w:rFonts w:hint="eastAsia" w:asciiTheme="minorEastAsia" w:hAnsiTheme="minorEastAsia" w:eastAsiaTheme="minorEastAsia" w:cstheme="minorEastAsia"/>
          <w:sz w:val="21"/>
          <w:szCs w:val="21"/>
        </w:rPr>
      </w:pP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4" w:name="_Toc257919143"/>
      <w:r>
        <w:rPr>
          <w:rFonts w:hint="eastAsia" w:asciiTheme="minorEastAsia" w:hAnsiTheme="minorEastAsia" w:eastAsiaTheme="minorEastAsia" w:cstheme="minorEastAsia"/>
          <w:sz w:val="21"/>
          <w:szCs w:val="21"/>
        </w:rPr>
        <w:t>6.1.3非一次性支出</w:t>
      </w:r>
      <w:bookmarkEnd w:id="4"/>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列出在该系统生命期内按月或按季或按年支出的用于运行和维护的费用，包括：</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设备的租金和维护费用；</w:t>
      </w:r>
      <w:r>
        <w:rPr>
          <w:rFonts w:hint="eastAsia" w:asciiTheme="minorEastAsia" w:hAnsiTheme="minorEastAsia" w:eastAsiaTheme="minorEastAsia" w:cstheme="minorEastAsia"/>
          <w:sz w:val="21"/>
          <w:szCs w:val="21"/>
          <w:lang w:val="en-US" w:eastAsia="zh-CN"/>
        </w:rPr>
        <w:t>2000元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软件的租金和维护费用；</w:t>
      </w:r>
      <w:r>
        <w:rPr>
          <w:rFonts w:hint="eastAsia" w:asciiTheme="minorEastAsia" w:hAnsiTheme="minorEastAsia" w:eastAsiaTheme="minorEastAsia" w:cstheme="minorEastAsia"/>
          <w:sz w:val="21"/>
          <w:szCs w:val="21"/>
          <w:lang w:val="en-US" w:eastAsia="zh-CN"/>
        </w:rPr>
        <w:t>2500元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数据通讯方面的租金和维护费用；</w:t>
      </w:r>
      <w:r>
        <w:rPr>
          <w:rFonts w:hint="eastAsia" w:asciiTheme="minorEastAsia" w:hAnsiTheme="minorEastAsia" w:eastAsiaTheme="minorEastAsia" w:cstheme="minorEastAsia"/>
          <w:sz w:val="21"/>
          <w:szCs w:val="21"/>
          <w:lang w:val="en-US" w:eastAsia="zh-CN"/>
        </w:rPr>
        <w:t>1500元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人员的工资、奖金；</w:t>
      </w:r>
      <w:r>
        <w:rPr>
          <w:rFonts w:hint="eastAsia" w:asciiTheme="minorEastAsia" w:hAnsiTheme="minorEastAsia" w:eastAsiaTheme="minorEastAsia" w:cstheme="minorEastAsia"/>
          <w:sz w:val="21"/>
          <w:szCs w:val="21"/>
          <w:lang w:val="en-US" w:eastAsia="zh-CN"/>
        </w:rPr>
        <w:t>2000元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房屋、空间的使用开支；</w:t>
      </w:r>
      <w:r>
        <w:rPr>
          <w:rFonts w:hint="eastAsia" w:asciiTheme="minorEastAsia" w:hAnsiTheme="minorEastAsia" w:eastAsiaTheme="minorEastAsia" w:cstheme="minorEastAsia"/>
          <w:sz w:val="21"/>
          <w:szCs w:val="21"/>
          <w:lang w:val="en-US" w:eastAsia="zh-CN"/>
        </w:rPr>
        <w:t>1000元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公用设施方面的开支；</w:t>
      </w:r>
      <w:r>
        <w:rPr>
          <w:rFonts w:hint="eastAsia" w:asciiTheme="minorEastAsia" w:hAnsiTheme="minorEastAsia" w:eastAsiaTheme="minorEastAsia" w:cstheme="minorEastAsia"/>
          <w:sz w:val="21"/>
          <w:szCs w:val="21"/>
          <w:lang w:val="en-US" w:eastAsia="zh-CN"/>
        </w:rPr>
        <w:t>1000元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保密安全方面的开支；</w:t>
      </w:r>
      <w:r>
        <w:rPr>
          <w:rFonts w:hint="eastAsia" w:asciiTheme="minorEastAsia" w:hAnsiTheme="minorEastAsia" w:eastAsiaTheme="minorEastAsia" w:cstheme="minorEastAsia"/>
          <w:sz w:val="21"/>
          <w:szCs w:val="21"/>
          <w:lang w:val="en-US" w:eastAsia="zh-CN"/>
        </w:rPr>
        <w:t>1000元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其他经常性的支出等。</w:t>
      </w:r>
      <w:r>
        <w:rPr>
          <w:rFonts w:hint="eastAsia" w:asciiTheme="minorEastAsia" w:hAnsiTheme="minorEastAsia" w:eastAsiaTheme="minorEastAsia" w:cstheme="minorEastAsia"/>
          <w:sz w:val="21"/>
          <w:szCs w:val="21"/>
          <w:lang w:val="en-US" w:eastAsia="zh-CN"/>
        </w:rPr>
        <w:t>1000元</w:t>
      </w:r>
    </w:p>
    <w:p>
      <w:pPr>
        <w:pageBreakBefore w:val="0"/>
        <w:numPr>
          <w:ilvl w:val="0"/>
          <w:numId w:val="0"/>
        </w:numPr>
        <w:kinsoku/>
        <w:wordWrap/>
        <w:overflowPunct/>
        <w:topLinePunct w:val="0"/>
        <w:autoSpaceDE/>
        <w:autoSpaceDN/>
        <w:bidi w:val="0"/>
        <w:adjustRightInd/>
        <w:snapToGrid/>
        <w:spacing w:line="360" w:lineRule="auto"/>
        <w:ind w:left="360" w:leftChars="0" w:firstLine="420" w:firstLineChars="20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共计：12000元</w:t>
      </w:r>
    </w:p>
    <w:p>
      <w:pPr>
        <w:pageBreakBefore w:val="0"/>
        <w:numPr>
          <w:ilvl w:val="0"/>
          <w:numId w:val="0"/>
        </w:numPr>
        <w:kinsoku/>
        <w:wordWrap/>
        <w:overflowPunct/>
        <w:topLinePunct w:val="0"/>
        <w:autoSpaceDE/>
        <w:autoSpaceDN/>
        <w:bidi w:val="0"/>
        <w:adjustRightInd/>
        <w:snapToGrid/>
        <w:spacing w:line="360" w:lineRule="auto"/>
        <w:ind w:left="360" w:leftChars="0" w:firstLine="420" w:firstLineChars="200"/>
        <w:textAlignment w:val="auto"/>
        <w:rPr>
          <w:rFonts w:hint="eastAsia" w:asciiTheme="minorEastAsia" w:hAnsiTheme="minorEastAsia" w:eastAsiaTheme="minorEastAsia" w:cstheme="minorEastAsia"/>
          <w:sz w:val="21"/>
          <w:szCs w:val="21"/>
        </w:rPr>
      </w:pPr>
    </w:p>
    <w:p>
      <w:pPr>
        <w:pStyle w:val="3"/>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5" w:name="_Toc257919144"/>
      <w:r>
        <w:rPr>
          <w:rFonts w:hint="eastAsia" w:asciiTheme="minorEastAsia" w:hAnsiTheme="minorEastAsia" w:eastAsiaTheme="minorEastAsia" w:cstheme="minorEastAsia"/>
          <w:sz w:val="21"/>
          <w:szCs w:val="21"/>
        </w:rPr>
        <w:t>6.2收益</w:t>
      </w:r>
      <w:bookmarkEnd w:id="5"/>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收益包括：一次性收益和非一次性收益和不可定量的收益，其中一次性收益为</w:t>
      </w:r>
      <w:r>
        <w:rPr>
          <w:rFonts w:hint="eastAsia" w:asciiTheme="minorEastAsia" w:hAnsiTheme="minorEastAsia" w:eastAsiaTheme="minorEastAsia" w:cstheme="minorEastAsia"/>
          <w:sz w:val="21"/>
          <w:szCs w:val="21"/>
          <w:lang w:val="en-US" w:eastAsia="zh-CN"/>
        </w:rPr>
        <w:t>0元，非一次性收益为：30000元，不可定量的收益为：37200元　，共计：６７２００元</w:t>
      </w: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6" w:name="_Toc257919145"/>
      <w:r>
        <w:rPr>
          <w:rFonts w:hint="eastAsia" w:asciiTheme="minorEastAsia" w:hAnsiTheme="minorEastAsia" w:eastAsiaTheme="minorEastAsia" w:cstheme="minorEastAsia"/>
          <w:sz w:val="21"/>
          <w:szCs w:val="21"/>
        </w:rPr>
        <w:t>6.2.1一次性收益</w:t>
      </w:r>
      <w:bookmarkEnd w:id="6"/>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目前所开发软件还未达到一次性收益</w:t>
      </w: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7" w:name="_Toc257919146"/>
      <w:r>
        <w:rPr>
          <w:rFonts w:hint="eastAsia" w:asciiTheme="minorEastAsia" w:hAnsiTheme="minorEastAsia" w:eastAsiaTheme="minorEastAsia" w:cstheme="minorEastAsia"/>
          <w:sz w:val="21"/>
          <w:szCs w:val="21"/>
        </w:rPr>
        <w:t>6.2.2非一次性收益</w:t>
      </w:r>
      <w:bookmarkEnd w:id="7"/>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１</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按银行利率：1%</w:t>
      </w:r>
      <w:r>
        <w:rPr>
          <w:rFonts w:hint="eastAsia" w:asciiTheme="minorEastAsia" w:hAnsiTheme="minorEastAsia" w:eastAsiaTheme="minorEastAsia" w:cstheme="minorEastAsia"/>
          <w:sz w:val="21"/>
          <w:szCs w:val="21"/>
          <w:lang w:eastAsia="zh-CN"/>
        </w:rPr>
        <w:t>计算</w:t>
      </w:r>
      <w:r>
        <w:rPr>
          <w:rFonts w:hint="eastAsia" w:asciiTheme="minorEastAsia" w:hAnsiTheme="minorEastAsia" w:eastAsiaTheme="minorEastAsia" w:cstheme="minorEastAsia"/>
          <w:sz w:val="21"/>
          <w:szCs w:val="21"/>
        </w:rPr>
        <w:t>； 减少员工5人(1000元/人)</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五年收益:  1000*（1.1+（1.1）2+（1.1）3+（1.1）4+（1.1）5）*5*12*5=3</w:t>
      </w:r>
      <w:r>
        <w:rPr>
          <w:rFonts w:hint="eastAsia" w:asciiTheme="minorEastAsia" w:hAnsiTheme="minorEastAsia" w:eastAsiaTheme="minorEastAsia" w:cstheme="minorEastAsia"/>
          <w:sz w:val="21"/>
          <w:szCs w:val="21"/>
          <w:lang w:val="en-US" w:eastAsia="zh-CN"/>
        </w:rPr>
        <w:t>0000</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２.可将项目进行出租，或出售源代码，以此来增加日后的收益。</w:t>
      </w: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8" w:name="_Toc257919147"/>
      <w:r>
        <w:rPr>
          <w:rFonts w:hint="eastAsia" w:asciiTheme="minorEastAsia" w:hAnsiTheme="minorEastAsia" w:eastAsiaTheme="minorEastAsia" w:cstheme="minorEastAsia"/>
          <w:sz w:val="21"/>
          <w:szCs w:val="21"/>
        </w:rPr>
        <w:t>6.2.3不可定量的收益</w:t>
      </w:r>
      <w:bookmarkEnd w:id="8"/>
    </w:p>
    <w:p>
      <w:pPr>
        <w:pageBreakBefore w:val="0"/>
        <w:numPr>
          <w:ilvl w:val="0"/>
          <w:numId w:val="4"/>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因工作效率提高工作时间减少</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10500+12000+24000）/5*4=37200元</w:t>
      </w:r>
    </w:p>
    <w:p>
      <w:pPr>
        <w:pageBreakBefore w:val="0"/>
        <w:numPr>
          <w:ilvl w:val="0"/>
          <w:numId w:val="4"/>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由于该项目面向学校和一些教育机构，能树立公司形象，并且使用规模大，能提升公司度。</w:t>
      </w:r>
    </w:p>
    <w:p>
      <w:pPr>
        <w:pStyle w:val="3"/>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9" w:name="_Toc257919148"/>
      <w:r>
        <w:rPr>
          <w:rFonts w:hint="eastAsia" w:asciiTheme="minorEastAsia" w:hAnsiTheme="minorEastAsia" w:eastAsiaTheme="minorEastAsia" w:cstheme="minorEastAsia"/>
          <w:sz w:val="21"/>
          <w:szCs w:val="21"/>
        </w:rPr>
        <w:t>6.3收益／投资比</w:t>
      </w:r>
      <w:bookmarkEnd w:id="9"/>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收益／投资比值</w:t>
      </w:r>
      <w:r>
        <w:rPr>
          <w:rFonts w:hint="eastAsia" w:asciiTheme="minorEastAsia" w:hAnsiTheme="minorEastAsia" w:eastAsiaTheme="minorEastAsia" w:cstheme="minorEastAsia"/>
          <w:sz w:val="21"/>
          <w:szCs w:val="21"/>
          <w:lang w:val="en-US" w:eastAsia="zh-CN"/>
        </w:rPr>
        <w:t>=（37200+30000)/50000=1３０％</w:t>
      </w:r>
    </w:p>
    <w:p>
      <w:pPr>
        <w:pStyle w:val="3"/>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10" w:name="_Toc257919149"/>
      <w:r>
        <w:rPr>
          <w:rFonts w:hint="eastAsia" w:asciiTheme="minorEastAsia" w:hAnsiTheme="minorEastAsia" w:eastAsiaTheme="minorEastAsia" w:cstheme="minorEastAsia"/>
          <w:sz w:val="21"/>
          <w:szCs w:val="21"/>
        </w:rPr>
        <w:t>6.4投资回收周期</w:t>
      </w:r>
      <w:bookmarkEnd w:id="10"/>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eastAsia="zh-CN"/>
        </w:rPr>
      </w:pPr>
      <w:bookmarkStart w:id="11" w:name="_Toc257919150"/>
      <w:r>
        <w:rPr>
          <w:rFonts w:hint="eastAsia" w:asciiTheme="minorEastAsia" w:hAnsiTheme="minorEastAsia" w:eastAsiaTheme="minorEastAsia" w:cstheme="minorEastAsia"/>
          <w:sz w:val="21"/>
          <w:szCs w:val="21"/>
          <w:lang w:eastAsia="zh-CN"/>
        </w:rPr>
        <w:t>回收周期为：６个月</w:t>
      </w:r>
    </w:p>
    <w:p>
      <w:pPr>
        <w:pStyle w:val="3"/>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6.5敏感性分析</w:t>
      </w:r>
      <w:bookmarkEnd w:id="11"/>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敏感度低，对其他软件不会产生较大的冲突，对设备的要求不高，普通能相户适应。</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0000001D"/>
    <w:multiLevelType w:val="multilevel"/>
    <w:tmpl w:val="0000001D"/>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900"/>
        </w:tabs>
        <w:ind w:left="900" w:hanging="420"/>
      </w:pPr>
    </w:lvl>
    <w:lvl w:ilvl="2" w:tentative="0">
      <w:start w:val="1"/>
      <w:numFmt w:val="lowerRoman"/>
      <w:lvlText w:val="%3."/>
      <w:lvlJc w:val="right"/>
      <w:pPr>
        <w:tabs>
          <w:tab w:val="left" w:pos="1320"/>
        </w:tabs>
        <w:ind w:left="1320" w:hanging="420"/>
      </w:pPr>
    </w:lvl>
    <w:lvl w:ilvl="3" w:tentative="0">
      <w:start w:val="1"/>
      <w:numFmt w:val="decimal"/>
      <w:lvlText w:val="%4."/>
      <w:lvlJc w:val="left"/>
      <w:pPr>
        <w:tabs>
          <w:tab w:val="left" w:pos="1740"/>
        </w:tabs>
        <w:ind w:left="1740" w:hanging="420"/>
      </w:pPr>
    </w:lvl>
    <w:lvl w:ilvl="4" w:tentative="0">
      <w:start w:val="1"/>
      <w:numFmt w:val="lowerLetter"/>
      <w:lvlText w:val="%5)"/>
      <w:lvlJc w:val="left"/>
      <w:pPr>
        <w:tabs>
          <w:tab w:val="left" w:pos="2160"/>
        </w:tabs>
        <w:ind w:left="2160" w:hanging="420"/>
      </w:pPr>
    </w:lvl>
    <w:lvl w:ilvl="5" w:tentative="0">
      <w:start w:val="1"/>
      <w:numFmt w:val="lowerRoman"/>
      <w:lvlText w:val="%6."/>
      <w:lvlJc w:val="right"/>
      <w:pPr>
        <w:tabs>
          <w:tab w:val="left" w:pos="2580"/>
        </w:tabs>
        <w:ind w:left="2580" w:hanging="420"/>
      </w:pPr>
    </w:lvl>
    <w:lvl w:ilvl="6" w:tentative="0">
      <w:start w:val="1"/>
      <w:numFmt w:val="decimal"/>
      <w:lvlText w:val="%7."/>
      <w:lvlJc w:val="left"/>
      <w:pPr>
        <w:tabs>
          <w:tab w:val="left" w:pos="3000"/>
        </w:tabs>
        <w:ind w:left="3000" w:hanging="420"/>
      </w:pPr>
    </w:lvl>
    <w:lvl w:ilvl="7" w:tentative="0">
      <w:start w:val="1"/>
      <w:numFmt w:val="lowerLetter"/>
      <w:lvlText w:val="%8)"/>
      <w:lvlJc w:val="left"/>
      <w:pPr>
        <w:tabs>
          <w:tab w:val="left" w:pos="3420"/>
        </w:tabs>
        <w:ind w:left="3420" w:hanging="420"/>
      </w:pPr>
    </w:lvl>
    <w:lvl w:ilvl="8" w:tentative="0">
      <w:start w:val="1"/>
      <w:numFmt w:val="lowerRoman"/>
      <w:lvlText w:val="%9."/>
      <w:lvlJc w:val="right"/>
      <w:pPr>
        <w:tabs>
          <w:tab w:val="left" w:pos="3840"/>
        </w:tabs>
        <w:ind w:left="3840" w:hanging="420"/>
      </w:pPr>
    </w:lvl>
  </w:abstractNum>
  <w:abstractNum w:abstractNumId="2">
    <w:nsid w:val="0000001E"/>
    <w:multiLevelType w:val="multilevel"/>
    <w:tmpl w:val="0000001E"/>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22"/>
    <w:multiLevelType w:val="singleLevel"/>
    <w:tmpl w:val="00000022"/>
    <w:lvl w:ilvl="0" w:tentative="0">
      <w:start w:val="1"/>
      <w:numFmt w:val="decimalFullWidth"/>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274"/>
    <w:rsid w:val="000642A8"/>
    <w:rsid w:val="00246844"/>
    <w:rsid w:val="003B0274"/>
    <w:rsid w:val="005B1314"/>
    <w:rsid w:val="008F4C38"/>
    <w:rsid w:val="00A428E8"/>
    <w:rsid w:val="00B135B8"/>
    <w:rsid w:val="668A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1"/>
    <w:semiHidden/>
    <w:unhideWhenUsed/>
    <w:uiPriority w:val="99"/>
    <w:rPr>
      <w:sz w:val="18"/>
      <w:szCs w:val="18"/>
    </w:rPr>
  </w:style>
  <w:style w:type="character" w:customStyle="1" w:styleId="8">
    <w:name w:val="标题 1 Char"/>
    <w:basedOn w:val="7"/>
    <w:link w:val="2"/>
    <w:uiPriority w:val="9"/>
    <w:rPr>
      <w:b/>
      <w:bCs/>
      <w:kern w:val="44"/>
      <w:sz w:val="44"/>
      <w:szCs w:val="44"/>
    </w:rPr>
  </w:style>
  <w:style w:type="character" w:customStyle="1" w:styleId="9">
    <w:name w:val="标题 2 Char"/>
    <w:basedOn w:val="7"/>
    <w:link w:val="3"/>
    <w:uiPriority w:val="9"/>
    <w:rPr>
      <w:rFonts w:asciiTheme="majorHAnsi" w:hAnsiTheme="majorHAnsi" w:eastAsiaTheme="majorEastAsia" w:cstheme="majorBidi"/>
      <w:b/>
      <w:bCs/>
      <w:sz w:val="32"/>
      <w:szCs w:val="32"/>
    </w:rPr>
  </w:style>
  <w:style w:type="character" w:customStyle="1" w:styleId="10">
    <w:name w:val="标题 3 Char"/>
    <w:basedOn w:val="7"/>
    <w:link w:val="4"/>
    <w:uiPriority w:val="9"/>
    <w:rPr>
      <w:b/>
      <w:bCs/>
      <w:sz w:val="32"/>
      <w:szCs w:val="32"/>
    </w:rPr>
  </w:style>
  <w:style w:type="character" w:customStyle="1" w:styleId="11">
    <w:name w:val="批注框文本 Char"/>
    <w:basedOn w:val="7"/>
    <w:link w:val="5"/>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284</Words>
  <Characters>1623</Characters>
  <Lines>13</Lines>
  <Paragraphs>3</Paragraphs>
  <TotalTime>1</TotalTime>
  <ScaleCrop>false</ScaleCrop>
  <LinksUpToDate>false</LinksUpToDate>
  <CharactersWithSpaces>1904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2019-03-21T00:17:00Z</dcterms:created>
  <dc:creator>nl</dc:creator>
  <cp:lastModifiedBy>祸津</cp:lastModifiedBy>
  <dcterms:modified xsi:type="dcterms:W3CDTF">2019-03-25T12:52:24Z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