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54" w:rsidRPr="00E03279" w:rsidRDefault="009F5F54" w:rsidP="00DC7617">
      <w:pPr>
        <w:pStyle w:val="a9"/>
        <w:spacing w:line="276" w:lineRule="auto"/>
        <w:jc w:val="center"/>
      </w:pPr>
      <w:r>
        <w:rPr>
          <w:rFonts w:hint="eastAsia"/>
        </w:rPr>
        <w:t>上海中医药大学附属曙光医院伦理委员会</w:t>
      </w:r>
    </w:p>
    <w:p w:rsidR="009F5F54" w:rsidRDefault="009F5F54" w:rsidP="00DC7617">
      <w:pPr>
        <w:pStyle w:val="a9"/>
        <w:spacing w:line="276" w:lineRule="auto"/>
        <w:jc w:val="center"/>
        <w:rPr>
          <w:rFonts w:eastAsia="黑体"/>
        </w:rPr>
      </w:pPr>
      <w:r>
        <w:rPr>
          <w:rFonts w:eastAsia="黑体"/>
        </w:rPr>
        <w:t xml:space="preserve">IRB of </w:t>
      </w:r>
      <w:r>
        <w:rPr>
          <w:rFonts w:eastAsia="黑体" w:hint="eastAsia"/>
        </w:rPr>
        <w:t>Shuguang Hospital affiliated with Shanghai University of TCM</w:t>
      </w:r>
    </w:p>
    <w:p w:rsidR="009F5F54" w:rsidRPr="00DA0C20" w:rsidRDefault="009F5F54" w:rsidP="00DC7617">
      <w:pPr>
        <w:pStyle w:val="a9"/>
        <w:spacing w:line="276" w:lineRule="auto"/>
        <w:jc w:val="center"/>
        <w:rPr>
          <w:b/>
          <w:sz w:val="28"/>
          <w:szCs w:val="28"/>
        </w:rPr>
      </w:pPr>
      <w:r w:rsidRPr="00DA0C20">
        <w:rPr>
          <w:rFonts w:hint="eastAsia"/>
          <w:b/>
          <w:sz w:val="28"/>
          <w:szCs w:val="28"/>
        </w:rPr>
        <w:t>研究者不依从</w:t>
      </w:r>
      <w:r w:rsidRPr="00DA0C20">
        <w:rPr>
          <w:rFonts w:hint="eastAsia"/>
          <w:b/>
          <w:sz w:val="28"/>
          <w:szCs w:val="28"/>
        </w:rPr>
        <w:t>/</w:t>
      </w:r>
      <w:r w:rsidRPr="00DA0C20">
        <w:rPr>
          <w:rFonts w:hint="eastAsia"/>
          <w:b/>
          <w:sz w:val="28"/>
          <w:szCs w:val="28"/>
        </w:rPr>
        <w:t>违反方案报告</w:t>
      </w:r>
    </w:p>
    <w:p w:rsidR="009F5F54" w:rsidRPr="00DA0C20" w:rsidRDefault="009F5F54" w:rsidP="00DC7617">
      <w:pPr>
        <w:pStyle w:val="a9"/>
        <w:spacing w:after="240" w:line="276" w:lineRule="auto"/>
        <w:jc w:val="center"/>
        <w:rPr>
          <w:b/>
          <w:sz w:val="24"/>
        </w:rPr>
      </w:pPr>
      <w:r w:rsidRPr="00DA0C20">
        <w:rPr>
          <w:rFonts w:hint="eastAsia"/>
          <w:b/>
          <w:sz w:val="24"/>
        </w:rPr>
        <w:t>Deviation/Non-Compliance/Violation Report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593"/>
        <w:gridCol w:w="1529"/>
        <w:gridCol w:w="54"/>
        <w:gridCol w:w="1218"/>
        <w:gridCol w:w="958"/>
        <w:gridCol w:w="366"/>
        <w:gridCol w:w="1985"/>
      </w:tblGrid>
      <w:tr w:rsidR="009F5F54" w:rsidRPr="00946692" w:rsidTr="00A8324F">
        <w:trPr>
          <w:trHeight w:val="408"/>
        </w:trPr>
        <w:tc>
          <w:tcPr>
            <w:tcW w:w="2674" w:type="dxa"/>
            <w:gridSpan w:val="2"/>
            <w:shd w:val="clear" w:color="auto" w:fill="auto"/>
            <w:vAlign w:val="center"/>
          </w:tcPr>
          <w:p w:rsidR="009F5F54" w:rsidRPr="00137FD4" w:rsidRDefault="009F5F54" w:rsidP="00DC7617">
            <w:pPr>
              <w:pStyle w:val="a9"/>
              <w:spacing w:line="276" w:lineRule="auto"/>
              <w:rPr>
                <w:szCs w:val="21"/>
              </w:rPr>
            </w:pPr>
            <w:r w:rsidRPr="00137FD4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110" w:type="dxa"/>
            <w:gridSpan w:val="6"/>
            <w:shd w:val="clear" w:color="auto" w:fill="auto"/>
            <w:vAlign w:val="center"/>
          </w:tcPr>
          <w:p w:rsidR="009F5F54" w:rsidRPr="00137FD4" w:rsidRDefault="00A8324F" w:rsidP="00DC7617">
            <w:pPr>
              <w:pStyle w:val="a9"/>
              <w:spacing w:line="276" w:lineRule="auto"/>
            </w:pPr>
            <w:r w:rsidRPr="00A8324F">
              <w:rPr>
                <w:rFonts w:hint="eastAsia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9F5F54" w:rsidRPr="00946692" w:rsidTr="00A8324F">
        <w:trPr>
          <w:trHeight w:val="408"/>
        </w:trPr>
        <w:tc>
          <w:tcPr>
            <w:tcW w:w="2674" w:type="dxa"/>
            <w:gridSpan w:val="2"/>
            <w:shd w:val="clear" w:color="auto" w:fill="auto"/>
            <w:vAlign w:val="center"/>
          </w:tcPr>
          <w:p w:rsidR="009F5F54" w:rsidRPr="00137FD4" w:rsidRDefault="009F5F54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项目来源</w:t>
            </w:r>
          </w:p>
        </w:tc>
        <w:tc>
          <w:tcPr>
            <w:tcW w:w="6110" w:type="dxa"/>
            <w:gridSpan w:val="6"/>
            <w:shd w:val="clear" w:color="auto" w:fill="auto"/>
            <w:vAlign w:val="center"/>
          </w:tcPr>
          <w:p w:rsidR="009F5F54" w:rsidRPr="00137FD4" w:rsidRDefault="004A537F" w:rsidP="00DC7617">
            <w:pPr>
              <w:pStyle w:val="a9"/>
              <w:spacing w:line="276" w:lineRule="auto"/>
              <w:rPr>
                <w:szCs w:val="21"/>
              </w:rPr>
            </w:pPr>
            <w:r w:rsidRPr="004A537F">
              <w:rPr>
                <w:rFonts w:hint="eastAsia"/>
                <w:szCs w:val="21"/>
              </w:rPr>
              <w:t>天士力医药集团股份有限公司</w:t>
            </w:r>
            <w:r w:rsidRPr="004A537F">
              <w:rPr>
                <w:rFonts w:hint="eastAsia"/>
                <w:szCs w:val="21"/>
              </w:rPr>
              <w:t xml:space="preserve"> </w:t>
            </w:r>
          </w:p>
        </w:tc>
      </w:tr>
      <w:tr w:rsidR="009F5F54" w:rsidRPr="00946692" w:rsidTr="00326D24">
        <w:trPr>
          <w:trHeight w:val="408"/>
        </w:trPr>
        <w:tc>
          <w:tcPr>
            <w:tcW w:w="2674" w:type="dxa"/>
            <w:gridSpan w:val="2"/>
            <w:shd w:val="clear" w:color="auto" w:fill="auto"/>
            <w:vAlign w:val="center"/>
          </w:tcPr>
          <w:p w:rsidR="009F5F54" w:rsidRPr="00137FD4" w:rsidRDefault="009F5F54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主要研究者</w:t>
            </w:r>
          </w:p>
        </w:tc>
        <w:tc>
          <w:tcPr>
            <w:tcW w:w="2801" w:type="dxa"/>
            <w:gridSpan w:val="3"/>
            <w:shd w:val="clear" w:color="auto" w:fill="auto"/>
            <w:vAlign w:val="center"/>
          </w:tcPr>
          <w:p w:rsidR="009F5F54" w:rsidRPr="00137FD4" w:rsidRDefault="00C43AB5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万华</w:t>
            </w:r>
          </w:p>
        </w:tc>
        <w:tc>
          <w:tcPr>
            <w:tcW w:w="1324" w:type="dxa"/>
            <w:gridSpan w:val="2"/>
            <w:shd w:val="clear" w:color="auto" w:fill="auto"/>
            <w:vAlign w:val="center"/>
          </w:tcPr>
          <w:p w:rsidR="009F5F54" w:rsidRPr="00137FD4" w:rsidRDefault="009F5F54" w:rsidP="00DC7617">
            <w:pPr>
              <w:pStyle w:val="a9"/>
              <w:spacing w:line="276" w:lineRule="auto"/>
              <w:rPr>
                <w:szCs w:val="21"/>
              </w:rPr>
            </w:pPr>
            <w:r w:rsidRPr="00137FD4">
              <w:rPr>
                <w:rFonts w:hint="eastAsia"/>
                <w:szCs w:val="21"/>
              </w:rPr>
              <w:t>科室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F5F54" w:rsidRPr="00137FD4" w:rsidRDefault="00C43AB5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中医乳腺科</w:t>
            </w:r>
          </w:p>
        </w:tc>
      </w:tr>
      <w:tr w:rsidR="009F5F54" w:rsidRPr="00946692" w:rsidTr="00A8324F">
        <w:trPr>
          <w:trHeight w:val="408"/>
        </w:trPr>
        <w:tc>
          <w:tcPr>
            <w:tcW w:w="2674" w:type="dxa"/>
            <w:gridSpan w:val="2"/>
            <w:shd w:val="clear" w:color="auto" w:fill="auto"/>
            <w:vAlign w:val="center"/>
          </w:tcPr>
          <w:p w:rsidR="009F5F54" w:rsidRPr="00137FD4" w:rsidRDefault="009F5F54" w:rsidP="00DC7617">
            <w:pPr>
              <w:pStyle w:val="a9"/>
              <w:spacing w:line="276" w:lineRule="auto"/>
              <w:rPr>
                <w:szCs w:val="21"/>
              </w:rPr>
            </w:pPr>
            <w:r w:rsidRPr="00137FD4">
              <w:rPr>
                <w:rFonts w:hint="eastAsia"/>
                <w:szCs w:val="21"/>
              </w:rPr>
              <w:t>伦理审查批件号</w:t>
            </w:r>
          </w:p>
        </w:tc>
        <w:tc>
          <w:tcPr>
            <w:tcW w:w="6110" w:type="dxa"/>
            <w:gridSpan w:val="6"/>
            <w:shd w:val="clear" w:color="auto" w:fill="auto"/>
            <w:vAlign w:val="center"/>
          </w:tcPr>
          <w:p w:rsidR="009F5F54" w:rsidRPr="00137FD4" w:rsidRDefault="00C43AB5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2019-734</w:t>
            </w:r>
            <w:r w:rsidR="00096E35">
              <w:rPr>
                <w:rFonts w:hint="eastAsia"/>
                <w:szCs w:val="21"/>
              </w:rPr>
              <w:t>-89-01</w:t>
            </w:r>
          </w:p>
        </w:tc>
      </w:tr>
      <w:tr w:rsidR="009F5F54" w:rsidRPr="00946692" w:rsidTr="00326D24">
        <w:trPr>
          <w:trHeight w:val="408"/>
        </w:trPr>
        <w:tc>
          <w:tcPr>
            <w:tcW w:w="2674" w:type="dxa"/>
            <w:gridSpan w:val="2"/>
            <w:shd w:val="clear" w:color="auto" w:fill="auto"/>
            <w:vAlign w:val="center"/>
          </w:tcPr>
          <w:p w:rsidR="009F5F54" w:rsidRPr="00137FD4" w:rsidRDefault="009F5F54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方案版本号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9F5F54" w:rsidRPr="00137FD4" w:rsidRDefault="00096E35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2596" w:type="dxa"/>
            <w:gridSpan w:val="4"/>
            <w:shd w:val="clear" w:color="auto" w:fill="auto"/>
            <w:vAlign w:val="center"/>
          </w:tcPr>
          <w:p w:rsidR="009F5F54" w:rsidRPr="00137FD4" w:rsidRDefault="009F5F54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方案版本日期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F5F54" w:rsidRPr="00137FD4" w:rsidRDefault="00096E35" w:rsidP="00DC7617">
            <w:pPr>
              <w:pStyle w:val="a9"/>
              <w:spacing w:line="276" w:lineRule="auto"/>
            </w:pPr>
            <w:r w:rsidRPr="00096E35">
              <w:rPr>
                <w:rFonts w:hint="eastAsia"/>
              </w:rPr>
              <w:t>2019</w:t>
            </w:r>
            <w:r w:rsidRPr="00096E35">
              <w:rPr>
                <w:rFonts w:hint="eastAsia"/>
              </w:rPr>
              <w:t>年</w:t>
            </w:r>
            <w:r w:rsidRPr="00096E35">
              <w:rPr>
                <w:rFonts w:hint="eastAsia"/>
              </w:rPr>
              <w:t xml:space="preserve"> 09</w:t>
            </w:r>
            <w:r>
              <w:rPr>
                <w:rFonts w:hint="eastAsia"/>
              </w:rPr>
              <w:t>月</w:t>
            </w:r>
            <w:r w:rsidR="00687CF1">
              <w:rPr>
                <w:rFonts w:hint="eastAsia"/>
              </w:rPr>
              <w:t>18</w:t>
            </w:r>
            <w:r w:rsidR="00687CF1">
              <w:rPr>
                <w:rFonts w:hint="eastAsia"/>
              </w:rPr>
              <w:t>日</w:t>
            </w:r>
          </w:p>
        </w:tc>
      </w:tr>
      <w:tr w:rsidR="00687CF1" w:rsidRPr="00946692" w:rsidTr="00326D24">
        <w:trPr>
          <w:trHeight w:val="408"/>
        </w:trPr>
        <w:tc>
          <w:tcPr>
            <w:tcW w:w="2674" w:type="dxa"/>
            <w:gridSpan w:val="2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知情同意书版本号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2596" w:type="dxa"/>
            <w:gridSpan w:val="4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知情同意书版本日期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</w:pPr>
            <w:r w:rsidRPr="00096E35">
              <w:rPr>
                <w:rFonts w:hint="eastAsia"/>
              </w:rPr>
              <w:t>2019</w:t>
            </w:r>
            <w:r w:rsidRPr="00096E35">
              <w:rPr>
                <w:rFonts w:hint="eastAsia"/>
              </w:rPr>
              <w:t>年</w:t>
            </w:r>
            <w:r w:rsidRPr="00096E35">
              <w:rPr>
                <w:rFonts w:hint="eastAsia"/>
              </w:rPr>
              <w:t xml:space="preserve"> 09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687CF1" w:rsidRPr="00946692" w:rsidTr="00A8324F">
        <w:trPr>
          <w:trHeight w:val="384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B55861" w:rsidRDefault="00687CF1" w:rsidP="00DC7617">
            <w:pPr>
              <w:pStyle w:val="a9"/>
              <w:spacing w:line="276" w:lineRule="auto"/>
              <w:rPr>
                <w:b/>
                <w:szCs w:val="21"/>
              </w:rPr>
            </w:pPr>
            <w:r w:rsidRPr="00B55861">
              <w:rPr>
                <w:rFonts w:hint="eastAsia"/>
                <w:b/>
                <w:szCs w:val="21"/>
              </w:rPr>
              <w:t>一、不依从</w:t>
            </w:r>
            <w:r w:rsidRPr="00B55861">
              <w:rPr>
                <w:rFonts w:hint="eastAsia"/>
                <w:b/>
                <w:szCs w:val="21"/>
              </w:rPr>
              <w:t>/</w:t>
            </w:r>
            <w:r w:rsidRPr="00B55861">
              <w:rPr>
                <w:rFonts w:hint="eastAsia"/>
                <w:b/>
                <w:szCs w:val="21"/>
              </w:rPr>
              <w:t>违反方案的情况</w:t>
            </w:r>
          </w:p>
        </w:tc>
      </w:tr>
      <w:tr w:rsidR="00687CF1" w:rsidRPr="00946692" w:rsidTr="00A8324F">
        <w:trPr>
          <w:trHeight w:val="356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 w:rsidRPr="00137FD4">
              <w:rPr>
                <w:rFonts w:ascii="MS Gothic" w:eastAsia="MS Gothic" w:hAnsi="MS Gothic" w:cs="MS Gothic" w:hint="eastAsia"/>
                <w:szCs w:val="21"/>
              </w:rPr>
              <w:t>▦</w:t>
            </w:r>
            <w:r>
              <w:rPr>
                <w:rFonts w:ascii="MS Mincho" w:hAnsi="MS Mincho" w:cs="MS Mincho"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重大不依从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违反方案：</w:t>
            </w:r>
          </w:p>
        </w:tc>
      </w:tr>
      <w:tr w:rsidR="00687CF1" w:rsidRPr="00946692" w:rsidTr="00A8324F">
        <w:trPr>
          <w:trHeight w:val="350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B55861" w:rsidRDefault="00687CF1" w:rsidP="00DC7617">
            <w:pPr>
              <w:pStyle w:val="a9"/>
              <w:spacing w:line="276" w:lineRule="auto"/>
            </w:pPr>
            <w:r w:rsidRPr="00C05E23">
              <w:rPr>
                <w:rFonts w:ascii="MS Mincho" w:eastAsia="MS Mincho" w:hAnsi="MS Mincho" w:cs="MS Mincho"/>
                <w:szCs w:val="21"/>
              </w:rPr>
              <w:t>♦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>
              <w:rPr>
                <w:rFonts w:ascii="MS Mincho" w:hAnsi="MS Mincho" w:cs="MS Mincho" w:hint="eastAsia"/>
                <w:szCs w:val="21"/>
              </w:rPr>
              <w:t>纳入不符合纳入标准的受试者：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350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B55861" w:rsidRDefault="00687CF1" w:rsidP="00DC7617">
            <w:pPr>
              <w:pStyle w:val="a9"/>
              <w:spacing w:line="276" w:lineRule="auto"/>
            </w:pPr>
            <w:r w:rsidRPr="00C05E23">
              <w:rPr>
                <w:rFonts w:ascii="MS Mincho" w:eastAsia="MS Mincho" w:hAnsi="MS Mincho" w:cs="MS Mincho"/>
                <w:szCs w:val="21"/>
              </w:rPr>
              <w:t>♦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>
              <w:rPr>
                <w:rFonts w:ascii="MS Mincho" w:hAnsi="MS Mincho" w:cs="MS Mincho" w:hint="eastAsia"/>
                <w:szCs w:val="21"/>
              </w:rPr>
              <w:t>研究过程中，符合提前终止研究标准而没有让受试者退出：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350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B55861" w:rsidRDefault="00687CF1" w:rsidP="00DC7617">
            <w:pPr>
              <w:pStyle w:val="a9"/>
              <w:spacing w:line="276" w:lineRule="auto"/>
            </w:pPr>
            <w:r w:rsidRPr="00C05E23">
              <w:rPr>
                <w:rFonts w:ascii="MS Mincho" w:eastAsia="MS Mincho" w:hAnsi="MS Mincho" w:cs="MS Mincho"/>
                <w:szCs w:val="21"/>
              </w:rPr>
              <w:t>♦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>
              <w:rPr>
                <w:rFonts w:ascii="MS Mincho" w:hAnsi="MS Mincho" w:cs="MS Mincho" w:hint="eastAsia"/>
                <w:szCs w:val="21"/>
              </w:rPr>
              <w:t>给予受试者错误的治疗或不正确的计量：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350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B55861" w:rsidRDefault="00687CF1" w:rsidP="00DC7617">
            <w:pPr>
              <w:pStyle w:val="a9"/>
              <w:spacing w:line="276" w:lineRule="auto"/>
            </w:pPr>
            <w:r w:rsidRPr="00C05E23">
              <w:rPr>
                <w:rFonts w:ascii="MS Mincho" w:eastAsia="MS Mincho" w:hAnsi="MS Mincho" w:cs="MS Mincho"/>
                <w:szCs w:val="21"/>
              </w:rPr>
              <w:t>♦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>
              <w:rPr>
                <w:rFonts w:ascii="MS Mincho" w:hAnsi="MS Mincho" w:cs="MS Mincho" w:hint="eastAsia"/>
                <w:szCs w:val="21"/>
              </w:rPr>
              <w:t>给予受试者方案禁用的合并用药：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350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B55861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Pr="00B55861">
              <w:rPr>
                <w:rFonts w:ascii="MS Mincho" w:eastAsia="MS Mincho" w:hAnsi="MS Mincho" w:cs="MS Mincho"/>
                <w:szCs w:val="21"/>
              </w:rPr>
              <w:t>♦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>
              <w:rPr>
                <w:rFonts w:ascii="MS Mincho" w:hAnsi="MS Mincho" w:cs="MS Mincho" w:hint="eastAsia"/>
                <w:szCs w:val="21"/>
              </w:rPr>
              <w:t>任何偏离研究特定的程序和评估，从而对受试者的权益、安全和健康，或对研究结果产生显著影响的研究行为：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350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 w:rsidRPr="0064795F">
              <w:rPr>
                <w:rFonts w:ascii="MS Gothic" w:eastAsia="MS Gothic" w:hAnsi="MS Gothic" w:cs="MS Gothic" w:hint="eastAsia"/>
                <w:szCs w:val="21"/>
              </w:rPr>
              <w:t>▦</w:t>
            </w:r>
            <w:r>
              <w:rPr>
                <w:rFonts w:ascii="MS Mincho" w:hAnsi="MS Mincho" w:cs="MS Mincho" w:hint="eastAsia"/>
                <w:szCs w:val="21"/>
              </w:rPr>
              <w:t xml:space="preserve">  </w:t>
            </w:r>
            <w:r>
              <w:rPr>
                <w:rFonts w:ascii="MS Mincho" w:hAnsi="MS Mincho" w:cs="MS Mincho" w:hint="eastAsia"/>
                <w:szCs w:val="21"/>
              </w:rPr>
              <w:t>持续</w:t>
            </w:r>
            <w:r>
              <w:rPr>
                <w:rFonts w:hint="eastAsia"/>
                <w:szCs w:val="21"/>
              </w:rPr>
              <w:t>不依从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违反方案（不属于上述重大不依从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违反方案，但反复多次的违反方案）：</w:t>
            </w:r>
          </w:p>
          <w:p w:rsidR="00687CF1" w:rsidRPr="00FE4687" w:rsidRDefault="00687CF1" w:rsidP="00DC7617">
            <w:pPr>
              <w:pStyle w:val="a9"/>
              <w:spacing w:line="276" w:lineRule="auto"/>
            </w:pP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350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FE4687" w:rsidRDefault="00687CF1" w:rsidP="00DC7617">
            <w:pPr>
              <w:pStyle w:val="a9"/>
              <w:spacing w:line="276" w:lineRule="auto"/>
            </w:pPr>
            <w:r w:rsidRPr="0064795F">
              <w:rPr>
                <w:rFonts w:ascii="MS Gothic" w:eastAsia="MS Gothic" w:hAnsi="MS Gothic" w:cs="MS Gothic" w:hint="eastAsia"/>
                <w:szCs w:val="21"/>
              </w:rPr>
              <w:t>▦</w:t>
            </w:r>
            <w:r>
              <w:rPr>
                <w:rFonts w:ascii="MS Mincho" w:hAnsi="MS Mincho" w:cs="MS Mincho" w:hint="eastAsia"/>
                <w:szCs w:val="21"/>
              </w:rPr>
              <w:t xml:space="preserve">  </w:t>
            </w:r>
            <w:r>
              <w:rPr>
                <w:rFonts w:ascii="MS Mincho" w:hAnsi="MS Mincho" w:cs="MS Mincho" w:hint="eastAsia"/>
                <w:szCs w:val="21"/>
              </w:rPr>
              <w:t>研究者不配合监查</w:t>
            </w:r>
            <w:r>
              <w:rPr>
                <w:rFonts w:ascii="MS Mincho" w:hAnsi="MS Mincho" w:cs="MS Mincho" w:hint="eastAsia"/>
                <w:szCs w:val="21"/>
              </w:rPr>
              <w:t>/</w:t>
            </w:r>
            <w:r>
              <w:rPr>
                <w:rFonts w:ascii="MS Mincho" w:hAnsi="MS Mincho" w:cs="MS Mincho" w:hint="eastAsia"/>
                <w:szCs w:val="21"/>
              </w:rPr>
              <w:t>稽查：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350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FE4687" w:rsidRDefault="00687CF1" w:rsidP="00DC7617">
            <w:pPr>
              <w:pStyle w:val="a9"/>
              <w:spacing w:line="276" w:lineRule="auto"/>
            </w:pPr>
            <w:r w:rsidRPr="0064795F">
              <w:rPr>
                <w:rFonts w:ascii="MS Gothic" w:eastAsia="MS Gothic" w:hAnsi="MS Gothic" w:cs="MS Gothic" w:hint="eastAsia"/>
                <w:szCs w:val="21"/>
              </w:rPr>
              <w:t>▦</w:t>
            </w:r>
            <w:r>
              <w:rPr>
                <w:rFonts w:ascii="MS Mincho" w:hAnsi="MS Mincho" w:cs="MS Mincho" w:hint="eastAsia"/>
                <w:szCs w:val="21"/>
              </w:rPr>
              <w:t xml:space="preserve">  </w:t>
            </w:r>
            <w:r>
              <w:rPr>
                <w:rFonts w:ascii="MS Mincho" w:hAnsi="MS Mincho" w:cs="MS Mincho" w:hint="eastAsia"/>
                <w:szCs w:val="21"/>
              </w:rPr>
              <w:t>对违规事件不予以纠正：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840"/>
        </w:trPr>
        <w:tc>
          <w:tcPr>
            <w:tcW w:w="8784" w:type="dxa"/>
            <w:gridSpan w:val="8"/>
            <w:shd w:val="clear" w:color="auto" w:fill="auto"/>
          </w:tcPr>
          <w:p w:rsidR="00687CF1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 w:rsidRPr="0064795F">
              <w:rPr>
                <w:rFonts w:ascii="MS Gothic" w:eastAsia="MS Gothic" w:hAnsi="MS Gothic" w:cs="MS Gothic" w:hint="eastAsia"/>
                <w:szCs w:val="21"/>
              </w:rPr>
              <w:t>▦</w:t>
            </w:r>
            <w:r>
              <w:rPr>
                <w:rFonts w:ascii="MS Mincho" w:hAnsi="MS Mincho" w:cs="MS Mincho"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不依从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违反方案的描述：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0109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LYXI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2019/12/4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2019/12/6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2019/12/31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。受试者第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次月经开始日期</w:t>
            </w:r>
            <w:r>
              <w:rPr>
                <w:rFonts w:hint="eastAsia"/>
              </w:rPr>
              <w:t>2020/3/6</w:t>
            </w:r>
            <w:r>
              <w:rPr>
                <w:rFonts w:hint="eastAsia"/>
              </w:rPr>
              <w:t>，结束日期</w:t>
            </w:r>
            <w:r>
              <w:rPr>
                <w:rFonts w:hint="eastAsia"/>
              </w:rPr>
              <w:t>2020/3/12</w:t>
            </w:r>
            <w:r>
              <w:rPr>
                <w:rFonts w:hint="eastAsia"/>
              </w:rPr>
              <w:t>。按照方案要求受试者需在第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次月经结束后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天进行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访视。实际受试者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访视（电话随访后申请药品）日期为</w:t>
            </w:r>
            <w:r>
              <w:rPr>
                <w:rFonts w:hint="eastAsia"/>
              </w:rPr>
              <w:t>2020/3/12</w:t>
            </w:r>
            <w:r>
              <w:rPr>
                <w:rFonts w:hint="eastAsia"/>
              </w:rPr>
              <w:t>（即月经结束当天），超出方案规定的时间窗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天，属于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0109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LYXI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2019/12/4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2019/12/6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2019/12/31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2020/2/14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访视，因受疫情影响，未进行现</w:t>
            </w:r>
            <w:r>
              <w:rPr>
                <w:rFonts w:hint="eastAsia"/>
              </w:rPr>
              <w:lastRenderedPageBreak/>
              <w:t>场访视，采取电话远程随访，导致体重、生命体征（腋下体温、坐位心率、血压）、乳腺触诊检查、中医证候评分数据缺失。心电图、血常规、肝功能、肾功能、尿常规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镜检、便常规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潜血检查未做。属于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0109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LYXI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2019/12/4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2019/12/6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2019/12/31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2020/3/12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访视，因受疫情影响，未进行现场访视，采取电话远程随访，导致体重、生命体征（腋下体温、坐位心率、血压）、乳腺触诊检查、中医证候评分数据缺失。属于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0109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LYXI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2019/12/4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2019/12/6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2019/12/31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2019/12/31</w:t>
            </w:r>
            <w:r>
              <w:rPr>
                <w:rFonts w:hint="eastAsia"/>
              </w:rPr>
              <w:t>因换药早、中两次共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粒药未服。</w:t>
            </w:r>
            <w:r>
              <w:rPr>
                <w:rFonts w:hint="eastAsia"/>
              </w:rPr>
              <w:t>2019/12/31-20200204</w:t>
            </w:r>
            <w:r>
              <w:rPr>
                <w:rFonts w:hint="eastAsia"/>
              </w:rPr>
              <w:t>期间按照日记卡记录和理论服用量应为</w:t>
            </w:r>
            <w:r>
              <w:rPr>
                <w:rFonts w:hint="eastAsia"/>
              </w:rPr>
              <w:t>840</w:t>
            </w:r>
            <w:r>
              <w:rPr>
                <w:rFonts w:hint="eastAsia"/>
              </w:rPr>
              <w:t>，实际回收清点发现剩余</w:t>
            </w:r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粒，此期间漏服</w:t>
            </w:r>
            <w:r>
              <w:rPr>
                <w:rFonts w:hint="eastAsia"/>
              </w:rPr>
              <w:t>88</w:t>
            </w:r>
            <w:r>
              <w:rPr>
                <w:rFonts w:hint="eastAsia"/>
              </w:rPr>
              <w:t>粒。</w:t>
            </w:r>
            <w:r>
              <w:rPr>
                <w:rFonts w:hint="eastAsia"/>
              </w:rPr>
              <w:t>2020/2/14</w:t>
            </w:r>
            <w:r>
              <w:rPr>
                <w:rFonts w:hint="eastAsia"/>
              </w:rPr>
              <w:t>中午至</w:t>
            </w:r>
            <w:r>
              <w:rPr>
                <w:rFonts w:hint="eastAsia"/>
              </w:rPr>
              <w:t>2020/2/15</w:t>
            </w:r>
            <w:r>
              <w:rPr>
                <w:rFonts w:hint="eastAsia"/>
              </w:rPr>
              <w:t>上午共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粒药因疫情期间快递药品未收到未服。</w:t>
            </w:r>
            <w:r>
              <w:rPr>
                <w:rFonts w:hint="eastAsia"/>
              </w:rPr>
              <w:t>2020/2/15</w:t>
            </w:r>
            <w:r>
              <w:rPr>
                <w:rFonts w:hint="eastAsia"/>
              </w:rPr>
              <w:t>中午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粒漏服。</w:t>
            </w:r>
            <w:r>
              <w:rPr>
                <w:rFonts w:hint="eastAsia"/>
              </w:rPr>
              <w:t>2020/3/12</w:t>
            </w:r>
            <w:r>
              <w:rPr>
                <w:rFonts w:hint="eastAsia"/>
              </w:rPr>
              <w:t>中午未服药。按照方案要求“每次服用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粒胶囊，每日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次，餐后口服，连续服用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个月经周期（含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个月经周期的导入）”。受试者未连续服用药物，属于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0109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LYXI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2019/12/4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2019/12/6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2019/12/31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2020/2/4</w:t>
            </w:r>
            <w:r>
              <w:rPr>
                <w:rFonts w:hint="eastAsia"/>
              </w:rPr>
              <w:t>晚至</w:t>
            </w:r>
            <w:r>
              <w:rPr>
                <w:rFonts w:hint="eastAsia"/>
              </w:rPr>
              <w:t>2020/2/14</w:t>
            </w:r>
            <w:r>
              <w:rPr>
                <w:rFonts w:hint="eastAsia"/>
              </w:rPr>
              <w:t>早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电话随访前共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粒药因月经周期延长药物用完未服。按照方案要求“每次服用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粒胶囊，每日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次，餐后口服，连续服用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个月经周期（含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个月经周期的导入）”。受试者未连续服用药物，属于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0110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MIYU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2019/12/7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2019/12/10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2020/1/3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。受试者第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次月经开始日期</w:t>
            </w:r>
            <w:r>
              <w:rPr>
                <w:rFonts w:hint="eastAsia"/>
              </w:rPr>
              <w:t>2020/1/16</w:t>
            </w:r>
            <w:r>
              <w:rPr>
                <w:rFonts w:hint="eastAsia"/>
              </w:rPr>
              <w:t>，结束日期</w:t>
            </w:r>
            <w:r>
              <w:rPr>
                <w:rFonts w:hint="eastAsia"/>
              </w:rPr>
              <w:t>2020/1/20</w:t>
            </w:r>
            <w:r>
              <w:rPr>
                <w:rFonts w:hint="eastAsia"/>
              </w:rPr>
              <w:t>。按照方案要求受试者需在第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次月经结束后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天进行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访视。实际受试者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访视日期为</w:t>
            </w:r>
            <w:r>
              <w:rPr>
                <w:rFonts w:hint="eastAsia"/>
              </w:rPr>
              <w:t>2020/1/20</w:t>
            </w:r>
            <w:r>
              <w:rPr>
                <w:rFonts w:hint="eastAsia"/>
              </w:rPr>
              <w:t>（即月经结束当天），超出方案规定的时间窗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天，属于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0110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MIYU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2019/12/7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2019/12/10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2020/1/3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2020/2/14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V4</w:t>
            </w:r>
            <w:r>
              <w:rPr>
                <w:rFonts w:hint="eastAsia"/>
              </w:rPr>
              <w:t>访视，因受疫情影响，未进行现场访视，采取电话远程随访，导致体重、生命体征（腋下体温、坐位心率、血压）、乳腺触诊检查、中医证候评分数据缺失。属于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0110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MIYU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2019/12/7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2019/12/10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2020/1/3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2020/3/12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V5</w:t>
            </w:r>
            <w:r>
              <w:rPr>
                <w:rFonts w:hint="eastAsia"/>
              </w:rPr>
              <w:t>访视，因受疫情影响，无法进入住院部测量坐位心率、血压，导致数据缺失。属于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0110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MIYU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2019/12/7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2019/12/10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2020/1/3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2019/12/30</w:t>
            </w:r>
            <w:r>
              <w:rPr>
                <w:rFonts w:hint="eastAsia"/>
              </w:rPr>
              <w:t>中午至</w:t>
            </w:r>
            <w:r>
              <w:rPr>
                <w:rFonts w:hint="eastAsia"/>
              </w:rPr>
              <w:t>2020/1/3</w:t>
            </w:r>
            <w:r>
              <w:rPr>
                <w:rFonts w:hint="eastAsia"/>
              </w:rPr>
              <w:t>上午因药品回收共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粒药品未服用。</w:t>
            </w:r>
            <w:r>
              <w:rPr>
                <w:rFonts w:hint="eastAsia"/>
              </w:rPr>
              <w:t>2020/1/16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2020/1/18</w:t>
            </w:r>
            <w:r>
              <w:rPr>
                <w:rFonts w:hint="eastAsia"/>
              </w:rPr>
              <w:t>受试者因月经期共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>粒药品未服用。</w:t>
            </w:r>
            <w:r>
              <w:rPr>
                <w:rFonts w:hint="eastAsia"/>
              </w:rPr>
              <w:t>2020/2/14</w:t>
            </w:r>
            <w:r>
              <w:rPr>
                <w:rFonts w:hint="eastAsia"/>
              </w:rPr>
              <w:t>中午至</w:t>
            </w:r>
            <w:r>
              <w:rPr>
                <w:rFonts w:hint="eastAsia"/>
              </w:rPr>
              <w:t>2020/2/15</w:t>
            </w:r>
            <w:r>
              <w:rPr>
                <w:rFonts w:hint="eastAsia"/>
              </w:rPr>
              <w:t>中午共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粒未服。按照方案要求“每次服用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粒胶囊，每日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次，餐后口服，连续服用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个月经周期（含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个月经周期的导入）”。受试者未连续服用药物，属于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0110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>MIYU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2019/12/7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2019/12/10</w:t>
            </w:r>
            <w:r>
              <w:rPr>
                <w:rFonts w:hint="eastAsia"/>
              </w:rPr>
              <w:t>进入导入期，</w:t>
            </w:r>
            <w:r>
              <w:rPr>
                <w:rFonts w:hint="eastAsia"/>
              </w:rPr>
              <w:t>2020/1/3</w:t>
            </w:r>
            <w:r>
              <w:rPr>
                <w:rFonts w:hint="eastAsia"/>
              </w:rPr>
              <w:t>随机入组，随机号为</w:t>
            </w:r>
            <w:r>
              <w:rPr>
                <w:rFonts w:hint="eastAsia"/>
              </w:rPr>
              <w:t>002</w:t>
            </w:r>
            <w:r>
              <w:rPr>
                <w:rFonts w:hint="eastAsia"/>
              </w:rPr>
              <w:t>。受试者第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次月经开始日期</w:t>
            </w:r>
            <w:r>
              <w:rPr>
                <w:rFonts w:hint="eastAsia"/>
              </w:rPr>
              <w:t>2020/4/1</w:t>
            </w:r>
            <w:r>
              <w:rPr>
                <w:rFonts w:hint="eastAsia"/>
              </w:rPr>
              <w:t>，结束日期</w:t>
            </w:r>
            <w:r>
              <w:rPr>
                <w:rFonts w:hint="eastAsia"/>
              </w:rPr>
              <w:lastRenderedPageBreak/>
              <w:t>2020/4/5</w:t>
            </w:r>
            <w:r>
              <w:rPr>
                <w:rFonts w:hint="eastAsia"/>
              </w:rPr>
              <w:t>。按照方案要求受试者需在第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次月经结束后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天进行</w:t>
            </w:r>
            <w:r>
              <w:rPr>
                <w:rFonts w:hint="eastAsia"/>
              </w:rPr>
              <w:t>V6</w:t>
            </w:r>
            <w:r>
              <w:rPr>
                <w:rFonts w:hint="eastAsia"/>
              </w:rPr>
              <w:t>访视。实际受试者</w:t>
            </w:r>
            <w:r>
              <w:rPr>
                <w:rFonts w:hint="eastAsia"/>
              </w:rPr>
              <w:t>V6</w:t>
            </w:r>
            <w:r>
              <w:rPr>
                <w:rFonts w:hint="eastAsia"/>
              </w:rPr>
              <w:t>访视日期为</w:t>
            </w:r>
            <w:r>
              <w:rPr>
                <w:rFonts w:hint="eastAsia"/>
              </w:rPr>
              <w:t>2020/4/11</w:t>
            </w:r>
            <w:r>
              <w:rPr>
                <w:rFonts w:hint="eastAsia"/>
              </w:rPr>
              <w:t>，超出方案规定的时间窗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天，属于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21212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0111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 xml:space="preserve"> YMLI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2019/12/9</w:t>
            </w:r>
            <w:r>
              <w:rPr>
                <w:rFonts w:hint="eastAsia"/>
              </w:rPr>
              <w:t>签署知情同意书，受试者第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次月经开始日期</w:t>
            </w:r>
            <w:r>
              <w:rPr>
                <w:rFonts w:hint="eastAsia"/>
              </w:rPr>
              <w:t xml:space="preserve"> 2019/12/27</w:t>
            </w:r>
            <w:r>
              <w:rPr>
                <w:rFonts w:hint="eastAsia"/>
              </w:rPr>
              <w:t>，结束日期</w:t>
            </w:r>
            <w:r>
              <w:rPr>
                <w:rFonts w:hint="eastAsia"/>
              </w:rPr>
              <w:t>2020/1/1</w:t>
            </w:r>
            <w:r>
              <w:rPr>
                <w:rFonts w:hint="eastAsia"/>
              </w:rPr>
              <w:t>。按照方案要求受试者需在第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次月经结束后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天进入导入期。实际受试者导入日期为</w:t>
            </w:r>
            <w:r>
              <w:rPr>
                <w:rFonts w:hint="eastAsia"/>
              </w:rPr>
              <w:t>2020/1/8</w:t>
            </w:r>
            <w:r>
              <w:rPr>
                <w:rFonts w:hint="eastAsia"/>
              </w:rPr>
              <w:t>，超出方案规定的时间窗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天，属于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5A502F" w:rsidRDefault="00AB34CB" w:rsidP="00DC7617">
            <w:pPr>
              <w:pStyle w:val="a9"/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筛选号</w:t>
            </w:r>
            <w:r>
              <w:rPr>
                <w:rFonts w:hint="eastAsia"/>
              </w:rPr>
              <w:t>0111</w:t>
            </w:r>
            <w:r>
              <w:rPr>
                <w:rFonts w:hint="eastAsia"/>
              </w:rPr>
              <w:t>受试者，姓名缩写</w:t>
            </w:r>
            <w:r>
              <w:rPr>
                <w:rFonts w:hint="eastAsia"/>
              </w:rPr>
              <w:t xml:space="preserve"> YMLI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2019/12/9</w:t>
            </w:r>
            <w:r>
              <w:rPr>
                <w:rFonts w:hint="eastAsia"/>
              </w:rPr>
              <w:t>签署知情同意书，</w:t>
            </w:r>
            <w:r>
              <w:rPr>
                <w:rFonts w:hint="eastAsia"/>
              </w:rPr>
              <w:t>2020/1/8</w:t>
            </w:r>
            <w:r>
              <w:rPr>
                <w:rFonts w:hint="eastAsia"/>
              </w:rPr>
              <w:t>进入导入期。</w:t>
            </w:r>
            <w:r>
              <w:rPr>
                <w:rFonts w:hint="eastAsia"/>
              </w:rPr>
              <w:t>2020/1/9</w:t>
            </w:r>
            <w:r>
              <w:rPr>
                <w:rFonts w:hint="eastAsia"/>
              </w:rPr>
              <w:t>漏服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次导入期药物，</w:t>
            </w:r>
            <w:r>
              <w:rPr>
                <w:rFonts w:hint="eastAsia"/>
              </w:rPr>
              <w:t xml:space="preserve"> 2020/1/12-2020/1/13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2020/1/15-20200122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2020/1/24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2020/1/25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2020/1/30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2020/2/4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2020/2/6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2020/2/10</w:t>
            </w:r>
            <w:r>
              <w:rPr>
                <w:rFonts w:hint="eastAsia"/>
              </w:rPr>
              <w:t>每天漏服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次导入期药物；</w:t>
            </w:r>
            <w:r>
              <w:rPr>
                <w:rFonts w:hint="eastAsia"/>
              </w:rPr>
              <w:t xml:space="preserve"> 2020/1/11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2020/1/26-2020/1/29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2020/1/31-2020/2/3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2020/2/5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2020/2/7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2020/2/8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2020/2/11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2020/2/12</w:t>
            </w:r>
            <w:r>
              <w:rPr>
                <w:rFonts w:hint="eastAsia"/>
              </w:rPr>
              <w:t>每天漏服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次导入期药物，共漏服</w:t>
            </w: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次，</w:t>
            </w:r>
            <w:r>
              <w:rPr>
                <w:rFonts w:hint="eastAsia"/>
              </w:rPr>
              <w:t>376</w:t>
            </w:r>
            <w:r>
              <w:rPr>
                <w:rFonts w:hint="eastAsia"/>
              </w:rPr>
              <w:t>粒。按照方案要求“导入期每次服用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粒胶囊，每日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次，餐后口服，连续服用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个月经周期”，受试者未连续服用，属于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。</w:t>
            </w:r>
          </w:p>
          <w:p w:rsidR="004F43BA" w:rsidRPr="00FE4687" w:rsidRDefault="004F43BA" w:rsidP="00DC7617">
            <w:pPr>
              <w:pStyle w:val="a9"/>
              <w:numPr>
                <w:ilvl w:val="0"/>
                <w:numId w:val="1"/>
              </w:numPr>
              <w:spacing w:line="276" w:lineRule="auto"/>
              <w:rPr>
                <w:rFonts w:hint="eastAsia"/>
              </w:rPr>
            </w:pPr>
            <w:r w:rsidRPr="004C52E7">
              <w:rPr>
                <w:color w:val="000000" w:themeColor="text1"/>
                <w:szCs w:val="21"/>
              </w:rPr>
              <w:t>筛选号</w:t>
            </w:r>
            <w:r w:rsidRPr="004C52E7">
              <w:rPr>
                <w:color w:val="000000" w:themeColor="text1"/>
                <w:szCs w:val="21"/>
              </w:rPr>
              <w:t>0113</w:t>
            </w:r>
            <w:r w:rsidRPr="004C52E7">
              <w:rPr>
                <w:color w:val="000000" w:themeColor="text1"/>
                <w:szCs w:val="21"/>
              </w:rPr>
              <w:t>受试者，姓名缩写</w:t>
            </w:r>
            <w:r w:rsidRPr="004C52E7">
              <w:rPr>
                <w:color w:val="000000" w:themeColor="text1"/>
              </w:rPr>
              <w:t xml:space="preserve"> </w:t>
            </w:r>
            <w:r w:rsidRPr="004C52E7">
              <w:rPr>
                <w:color w:val="000000" w:themeColor="text1"/>
                <w:szCs w:val="21"/>
              </w:rPr>
              <w:t>LJRU</w:t>
            </w:r>
            <w:r w:rsidRPr="004C52E7">
              <w:rPr>
                <w:color w:val="000000" w:themeColor="text1"/>
                <w:szCs w:val="21"/>
              </w:rPr>
              <w:t>，</w:t>
            </w:r>
            <w:r w:rsidRPr="004C52E7">
              <w:rPr>
                <w:color w:val="000000" w:themeColor="text1"/>
                <w:szCs w:val="21"/>
              </w:rPr>
              <w:t>2019/12/9</w:t>
            </w:r>
            <w:r w:rsidRPr="004C52E7">
              <w:rPr>
                <w:color w:val="000000" w:themeColor="text1"/>
                <w:szCs w:val="21"/>
              </w:rPr>
              <w:t>签署知情同意书，</w:t>
            </w:r>
            <w:r w:rsidRPr="004C52E7">
              <w:rPr>
                <w:color w:val="000000" w:themeColor="text1"/>
                <w:szCs w:val="21"/>
              </w:rPr>
              <w:t>2019/12/12</w:t>
            </w:r>
            <w:r w:rsidRPr="004C52E7">
              <w:rPr>
                <w:color w:val="000000" w:themeColor="text1"/>
                <w:szCs w:val="21"/>
              </w:rPr>
              <w:t>进入导入期。</w:t>
            </w:r>
            <w:r w:rsidRPr="004C52E7">
              <w:rPr>
                <w:color w:val="000000" w:themeColor="text1"/>
              </w:rPr>
              <w:t xml:space="preserve"> </w:t>
            </w:r>
            <w:r w:rsidRPr="004C52E7">
              <w:rPr>
                <w:color w:val="000000" w:themeColor="text1"/>
                <w:szCs w:val="21"/>
              </w:rPr>
              <w:t>2019/12/19</w:t>
            </w:r>
            <w:r w:rsidRPr="004C52E7">
              <w:rPr>
                <w:color w:val="000000" w:themeColor="text1"/>
                <w:szCs w:val="21"/>
              </w:rPr>
              <w:t>、</w:t>
            </w:r>
            <w:r w:rsidRPr="004C52E7">
              <w:rPr>
                <w:color w:val="000000" w:themeColor="text1"/>
                <w:szCs w:val="21"/>
              </w:rPr>
              <w:t xml:space="preserve"> 2019</w:t>
            </w:r>
            <w:r w:rsidRPr="004C52E7">
              <w:rPr>
                <w:rFonts w:hint="eastAsia"/>
                <w:color w:val="000000" w:themeColor="text1"/>
                <w:szCs w:val="21"/>
              </w:rPr>
              <w:t>/</w:t>
            </w:r>
            <w:r w:rsidRPr="004C52E7">
              <w:rPr>
                <w:color w:val="000000" w:themeColor="text1"/>
                <w:szCs w:val="21"/>
              </w:rPr>
              <w:t>12</w:t>
            </w:r>
            <w:r w:rsidRPr="004C52E7">
              <w:rPr>
                <w:rFonts w:hint="eastAsia"/>
                <w:color w:val="000000" w:themeColor="text1"/>
                <w:szCs w:val="21"/>
              </w:rPr>
              <w:t>/</w:t>
            </w:r>
            <w:r w:rsidRPr="004C52E7">
              <w:rPr>
                <w:color w:val="000000" w:themeColor="text1"/>
                <w:szCs w:val="21"/>
              </w:rPr>
              <w:t>21</w:t>
            </w:r>
            <w:r w:rsidRPr="004C52E7">
              <w:rPr>
                <w:color w:val="000000" w:themeColor="text1"/>
                <w:szCs w:val="21"/>
              </w:rPr>
              <w:t>、</w:t>
            </w:r>
            <w:r w:rsidRPr="004C52E7">
              <w:rPr>
                <w:color w:val="000000" w:themeColor="text1"/>
                <w:szCs w:val="21"/>
              </w:rPr>
              <w:t>2020/1/1</w:t>
            </w:r>
            <w:r w:rsidRPr="004C52E7">
              <w:rPr>
                <w:color w:val="000000" w:themeColor="text1"/>
                <w:szCs w:val="21"/>
              </w:rPr>
              <w:t>漏服</w:t>
            </w:r>
            <w:r w:rsidRPr="004C52E7">
              <w:rPr>
                <w:color w:val="000000" w:themeColor="text1"/>
                <w:szCs w:val="21"/>
              </w:rPr>
              <w:t>1</w:t>
            </w:r>
            <w:r w:rsidRPr="004C52E7">
              <w:rPr>
                <w:color w:val="000000" w:themeColor="text1"/>
                <w:szCs w:val="21"/>
              </w:rPr>
              <w:t>次导入期药物；</w:t>
            </w:r>
            <w:r w:rsidRPr="004C52E7">
              <w:rPr>
                <w:color w:val="000000" w:themeColor="text1"/>
                <w:szCs w:val="21"/>
              </w:rPr>
              <w:t>2019</w:t>
            </w:r>
            <w:r w:rsidRPr="004C52E7">
              <w:rPr>
                <w:rFonts w:hint="eastAsia"/>
                <w:color w:val="000000" w:themeColor="text1"/>
                <w:szCs w:val="21"/>
              </w:rPr>
              <w:t>/</w:t>
            </w:r>
            <w:r w:rsidRPr="004C52E7">
              <w:rPr>
                <w:color w:val="000000" w:themeColor="text1"/>
                <w:szCs w:val="21"/>
              </w:rPr>
              <w:t>12</w:t>
            </w:r>
            <w:r w:rsidRPr="004C52E7">
              <w:rPr>
                <w:rFonts w:hint="eastAsia"/>
                <w:color w:val="000000" w:themeColor="text1"/>
                <w:szCs w:val="21"/>
              </w:rPr>
              <w:t>/</w:t>
            </w:r>
            <w:r w:rsidRPr="004C52E7">
              <w:rPr>
                <w:color w:val="000000" w:themeColor="text1"/>
                <w:szCs w:val="21"/>
              </w:rPr>
              <w:t>22</w:t>
            </w:r>
            <w:r w:rsidRPr="004C52E7">
              <w:rPr>
                <w:color w:val="000000" w:themeColor="text1"/>
                <w:szCs w:val="21"/>
              </w:rPr>
              <w:t>漏服</w:t>
            </w:r>
            <w:r w:rsidRPr="004C52E7">
              <w:rPr>
                <w:color w:val="000000" w:themeColor="text1"/>
                <w:szCs w:val="21"/>
              </w:rPr>
              <w:t>3</w:t>
            </w:r>
            <w:r w:rsidRPr="004C52E7">
              <w:rPr>
                <w:color w:val="000000" w:themeColor="text1"/>
                <w:szCs w:val="21"/>
              </w:rPr>
              <w:t>次导入期药物，共漏服</w:t>
            </w:r>
            <w:r w:rsidRPr="004C52E7">
              <w:rPr>
                <w:color w:val="000000" w:themeColor="text1"/>
                <w:szCs w:val="21"/>
              </w:rPr>
              <w:t>6</w:t>
            </w:r>
            <w:r w:rsidRPr="004C52E7">
              <w:rPr>
                <w:color w:val="000000" w:themeColor="text1"/>
                <w:szCs w:val="21"/>
              </w:rPr>
              <w:t>次</w:t>
            </w:r>
            <w:r>
              <w:rPr>
                <w:rFonts w:hint="eastAsia"/>
                <w:color w:val="000000" w:themeColor="text1"/>
                <w:szCs w:val="21"/>
              </w:rPr>
              <w:t>。</w:t>
            </w:r>
            <w:r w:rsidRPr="004C52E7">
              <w:rPr>
                <w:color w:val="000000" w:themeColor="text1"/>
                <w:szCs w:val="21"/>
              </w:rPr>
              <w:t>按照方案要求</w:t>
            </w:r>
            <w:r w:rsidRPr="004C52E7">
              <w:rPr>
                <w:color w:val="000000" w:themeColor="text1"/>
                <w:szCs w:val="21"/>
              </w:rPr>
              <w:t>“</w:t>
            </w:r>
            <w:r w:rsidRPr="004C52E7">
              <w:rPr>
                <w:color w:val="000000" w:themeColor="text1"/>
                <w:szCs w:val="21"/>
              </w:rPr>
              <w:t>导入期每次服用</w:t>
            </w:r>
            <w:r w:rsidRPr="004C52E7">
              <w:rPr>
                <w:color w:val="000000" w:themeColor="text1"/>
                <w:szCs w:val="21"/>
              </w:rPr>
              <w:t>8</w:t>
            </w:r>
            <w:r w:rsidRPr="004C52E7">
              <w:rPr>
                <w:color w:val="000000" w:themeColor="text1"/>
                <w:szCs w:val="21"/>
              </w:rPr>
              <w:t>粒胶囊，每日</w:t>
            </w:r>
            <w:r w:rsidRPr="004C52E7">
              <w:rPr>
                <w:color w:val="000000" w:themeColor="text1"/>
                <w:szCs w:val="21"/>
              </w:rPr>
              <w:t>3</w:t>
            </w:r>
            <w:r w:rsidRPr="004C52E7">
              <w:rPr>
                <w:color w:val="000000" w:themeColor="text1"/>
                <w:szCs w:val="21"/>
              </w:rPr>
              <w:t>次，餐后口服，连续服用</w:t>
            </w:r>
            <w:r w:rsidRPr="004C52E7">
              <w:rPr>
                <w:color w:val="000000" w:themeColor="text1"/>
                <w:szCs w:val="21"/>
              </w:rPr>
              <w:t>1</w:t>
            </w:r>
            <w:r w:rsidRPr="004C52E7">
              <w:rPr>
                <w:color w:val="000000" w:themeColor="text1"/>
                <w:szCs w:val="21"/>
              </w:rPr>
              <w:t>个月经周期</w:t>
            </w:r>
            <w:r w:rsidRPr="004C52E7">
              <w:rPr>
                <w:color w:val="000000" w:themeColor="text1"/>
                <w:szCs w:val="21"/>
              </w:rPr>
              <w:t>”</w:t>
            </w:r>
            <w:r w:rsidRPr="004C52E7">
              <w:rPr>
                <w:color w:val="000000" w:themeColor="text1"/>
                <w:szCs w:val="21"/>
              </w:rPr>
              <w:t>，受试者未连续服用，属于</w:t>
            </w:r>
            <w:r w:rsidRPr="004C52E7">
              <w:rPr>
                <w:color w:val="000000" w:themeColor="text1"/>
                <w:szCs w:val="21"/>
              </w:rPr>
              <w:t>PD</w:t>
            </w:r>
            <w:r w:rsidRPr="004C52E7">
              <w:rPr>
                <w:color w:val="000000" w:themeColor="text1"/>
                <w:szCs w:val="21"/>
              </w:rPr>
              <w:t>。</w:t>
            </w:r>
          </w:p>
        </w:tc>
      </w:tr>
      <w:tr w:rsidR="00687CF1" w:rsidRPr="00946692" w:rsidTr="00A8324F">
        <w:trPr>
          <w:trHeight w:val="454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 w:rsidRPr="004B5087">
              <w:rPr>
                <w:rFonts w:hint="eastAsia"/>
                <w:b/>
                <w:szCs w:val="21"/>
              </w:rPr>
              <w:lastRenderedPageBreak/>
              <w:t>二</w:t>
            </w:r>
            <w:r>
              <w:rPr>
                <w:rFonts w:hint="eastAsia"/>
                <w:szCs w:val="21"/>
              </w:rPr>
              <w:t>、</w:t>
            </w:r>
            <w:r w:rsidRPr="00B55861">
              <w:rPr>
                <w:rFonts w:hint="eastAsia"/>
                <w:b/>
                <w:szCs w:val="21"/>
              </w:rPr>
              <w:t>不依从</w:t>
            </w:r>
            <w:r w:rsidRPr="00B55861">
              <w:rPr>
                <w:rFonts w:hint="eastAsia"/>
                <w:b/>
                <w:szCs w:val="21"/>
              </w:rPr>
              <w:t>/</w:t>
            </w:r>
            <w:r w:rsidRPr="00B55861">
              <w:rPr>
                <w:rFonts w:hint="eastAsia"/>
                <w:b/>
                <w:szCs w:val="21"/>
              </w:rPr>
              <w:t>违反方案</w:t>
            </w:r>
            <w:r>
              <w:rPr>
                <w:rFonts w:hint="eastAsia"/>
                <w:b/>
                <w:szCs w:val="21"/>
              </w:rPr>
              <w:t>的影响</w:t>
            </w:r>
          </w:p>
        </w:tc>
      </w:tr>
      <w:tr w:rsidR="00687CF1" w:rsidRPr="00946692" w:rsidTr="00A8324F">
        <w:trPr>
          <w:trHeight w:val="453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4B5087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 w:rsidRPr="0064795F">
              <w:rPr>
                <w:rFonts w:ascii="MS Gothic" w:eastAsia="MS Gothic" w:hAnsi="MS Gothic" w:cs="MS Gothic" w:hint="eastAsia"/>
                <w:szCs w:val="21"/>
              </w:rPr>
              <w:t>▦</w:t>
            </w:r>
            <w:r>
              <w:rPr>
                <w:rFonts w:ascii="MS Mincho" w:hAnsi="MS Mincho" w:cs="MS Mincho" w:hint="eastAsia"/>
                <w:szCs w:val="21"/>
              </w:rPr>
              <w:t xml:space="preserve">  </w:t>
            </w:r>
            <w:r>
              <w:rPr>
                <w:rFonts w:ascii="MS Mincho" w:hAnsi="MS Mincho" w:cs="MS Mincho" w:hint="eastAsia"/>
                <w:szCs w:val="21"/>
              </w:rPr>
              <w:t>是否影响受试者的安全：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453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4B5087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 w:rsidRPr="0064795F">
              <w:rPr>
                <w:rFonts w:ascii="MS Gothic" w:eastAsia="MS Gothic" w:hAnsi="MS Gothic" w:cs="MS Gothic" w:hint="eastAsia"/>
                <w:szCs w:val="21"/>
              </w:rPr>
              <w:t>▦</w:t>
            </w:r>
            <w:r>
              <w:rPr>
                <w:rFonts w:ascii="MS Mincho" w:hAnsi="MS Mincho" w:cs="MS Mincho" w:hint="eastAsia"/>
                <w:szCs w:val="21"/>
              </w:rPr>
              <w:t xml:space="preserve">  </w:t>
            </w:r>
            <w:r>
              <w:rPr>
                <w:rFonts w:ascii="MS Mincho" w:hAnsi="MS Mincho" w:cs="MS Mincho" w:hint="eastAsia"/>
                <w:szCs w:val="21"/>
              </w:rPr>
              <w:t>是否影响受试者的权益：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A8324F">
        <w:trPr>
          <w:trHeight w:val="453"/>
        </w:trPr>
        <w:tc>
          <w:tcPr>
            <w:tcW w:w="8784" w:type="dxa"/>
            <w:gridSpan w:val="8"/>
            <w:shd w:val="clear" w:color="auto" w:fill="auto"/>
            <w:vAlign w:val="center"/>
          </w:tcPr>
          <w:p w:rsidR="00687CF1" w:rsidRPr="004B5087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 w:rsidRPr="0064795F">
              <w:rPr>
                <w:rFonts w:ascii="MS Gothic" w:eastAsia="MS Gothic" w:hAnsi="MS Gothic" w:cs="MS Gothic" w:hint="eastAsia"/>
                <w:szCs w:val="21"/>
              </w:rPr>
              <w:t>▦</w:t>
            </w:r>
            <w:r>
              <w:rPr>
                <w:rFonts w:ascii="MS Mincho" w:hAnsi="MS Mincho" w:cs="MS Mincho" w:hint="eastAsia"/>
                <w:szCs w:val="21"/>
              </w:rPr>
              <w:t xml:space="preserve">  </w:t>
            </w:r>
            <w:r>
              <w:rPr>
                <w:rFonts w:ascii="MS Mincho" w:hAnsi="MS Mincho" w:cs="MS Mincho" w:hint="eastAsia"/>
                <w:szCs w:val="21"/>
              </w:rPr>
              <w:t>是否对研究结果产生显著影响：</w:t>
            </w:r>
            <w:r w:rsidRPr="00B55861">
              <w:rPr>
                <w:rFonts w:ascii="MS Mincho" w:hAnsi="MS Mincho" w:cs="MS Mincho" w:hint="eastAsia"/>
                <w:szCs w:val="21"/>
              </w:rPr>
              <w:t>□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是，</w:t>
            </w:r>
            <w:r>
              <w:rPr>
                <w:rFonts w:ascii="MS Mincho" w:hAnsi="MS Mincho" w:cs="MS Mincho" w:hint="eastAsia"/>
                <w:szCs w:val="21"/>
              </w:rPr>
              <w:t xml:space="preserve"> 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</w:t>
            </w:r>
            <w:r w:rsidR="005A502F">
              <w:rPr>
                <w:rFonts w:ascii="宋体" w:hAnsi="宋体" w:cs="MS Mincho" w:hint="eastAsia"/>
                <w:szCs w:val="21"/>
              </w:rPr>
              <w:t>■</w:t>
            </w:r>
            <w:r w:rsidRPr="00B55861">
              <w:rPr>
                <w:rFonts w:ascii="MS Mincho" w:hAnsi="MS Mincho" w:cs="MS Mincho" w:hint="eastAsia"/>
                <w:szCs w:val="21"/>
              </w:rPr>
              <w:t xml:space="preserve">  </w:t>
            </w:r>
            <w:r w:rsidRPr="00B55861">
              <w:rPr>
                <w:rFonts w:ascii="MS Mincho" w:hAnsi="MS Mincho" w:cs="MS Mincho" w:hint="eastAsia"/>
                <w:szCs w:val="21"/>
              </w:rPr>
              <w:t>否</w:t>
            </w:r>
          </w:p>
        </w:tc>
      </w:tr>
      <w:tr w:rsidR="00687CF1" w:rsidRPr="00946692" w:rsidTr="00DC7617">
        <w:trPr>
          <w:trHeight w:val="3251"/>
        </w:trPr>
        <w:tc>
          <w:tcPr>
            <w:tcW w:w="8784" w:type="dxa"/>
            <w:gridSpan w:val="8"/>
            <w:shd w:val="clear" w:color="auto" w:fill="auto"/>
          </w:tcPr>
          <w:p w:rsidR="00687CF1" w:rsidRDefault="00687CF1" w:rsidP="00DC7617">
            <w:pPr>
              <w:pStyle w:val="a9"/>
              <w:spacing w:line="276" w:lineRule="auto"/>
              <w:rPr>
                <w:b/>
                <w:szCs w:val="21"/>
              </w:rPr>
            </w:pPr>
            <w:r w:rsidRPr="004B5087">
              <w:rPr>
                <w:rFonts w:hint="eastAsia"/>
                <w:b/>
                <w:szCs w:val="21"/>
              </w:rPr>
              <w:t>三</w:t>
            </w:r>
            <w:r>
              <w:rPr>
                <w:rFonts w:hint="eastAsia"/>
                <w:szCs w:val="21"/>
              </w:rPr>
              <w:t>、</w:t>
            </w:r>
            <w:r w:rsidRPr="00B55861">
              <w:rPr>
                <w:rFonts w:hint="eastAsia"/>
                <w:b/>
                <w:szCs w:val="21"/>
              </w:rPr>
              <w:t>不依从</w:t>
            </w:r>
            <w:r w:rsidRPr="00B55861">
              <w:rPr>
                <w:rFonts w:hint="eastAsia"/>
                <w:b/>
                <w:szCs w:val="21"/>
              </w:rPr>
              <w:t>/</w:t>
            </w:r>
            <w:r w:rsidRPr="00B55861">
              <w:rPr>
                <w:rFonts w:hint="eastAsia"/>
                <w:b/>
                <w:szCs w:val="21"/>
              </w:rPr>
              <w:t>违反方案</w:t>
            </w:r>
            <w:r>
              <w:rPr>
                <w:rFonts w:hint="eastAsia"/>
                <w:b/>
                <w:szCs w:val="21"/>
              </w:rPr>
              <w:t>的处理措施：</w:t>
            </w:r>
          </w:p>
          <w:p w:rsidR="004F43BA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D1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、报告本中心伦理委员会；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2</w:t>
            </w:r>
            <w:r w:rsidRPr="004F43BA">
              <w:rPr>
                <w:rFonts w:hint="eastAsia"/>
                <w:szCs w:val="21"/>
              </w:rPr>
              <w:t>、监查员发现后已提醒研究者随访时间窗中月经结束后第</w:t>
            </w: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天指的是月经结束后面</w:t>
            </w: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天，非月经结束当天。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3</w:t>
            </w:r>
            <w:r w:rsidRPr="004F43BA">
              <w:rPr>
                <w:rFonts w:hint="eastAsia"/>
                <w:szCs w:val="21"/>
              </w:rPr>
              <w:t>、后续尽量联系受试者在时间窗内进行访视。</w:t>
            </w:r>
          </w:p>
          <w:p w:rsidR="00D42507" w:rsidRPr="00D42507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报告本中心伦理委员会</w:t>
            </w:r>
          </w:p>
          <w:p w:rsidR="00D42507" w:rsidRPr="00D42507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报告本中心伦理委员会</w:t>
            </w:r>
          </w:p>
          <w:p w:rsidR="00D42507" w:rsidRPr="00D42507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、报告本中心伦理委员会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2</w:t>
            </w:r>
            <w:r w:rsidRPr="004F43BA">
              <w:rPr>
                <w:rFonts w:hint="eastAsia"/>
                <w:szCs w:val="21"/>
              </w:rPr>
              <w:t>、加强对受试者教育，提高受试者依从</w:t>
            </w:r>
            <w:bookmarkStart w:id="0" w:name="_GoBack"/>
            <w:bookmarkEnd w:id="0"/>
            <w:r w:rsidRPr="004F43BA">
              <w:rPr>
                <w:rFonts w:hint="eastAsia"/>
                <w:szCs w:val="21"/>
              </w:rPr>
              <w:t>性</w:t>
            </w:r>
          </w:p>
          <w:p w:rsidR="00D42507" w:rsidRPr="00D42507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报告本中心伦理委员会</w:t>
            </w:r>
          </w:p>
          <w:p w:rsidR="00D42507" w:rsidRPr="00D42507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6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、报告本中心伦理委员会；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2</w:t>
            </w:r>
            <w:r w:rsidRPr="004F43BA">
              <w:rPr>
                <w:rFonts w:hint="eastAsia"/>
                <w:szCs w:val="21"/>
              </w:rPr>
              <w:t>、监查员发现后已提醒研究者随访时间窗中月经结束后第</w:t>
            </w: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天指的是月经结束后面</w:t>
            </w: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天，非</w:t>
            </w:r>
            <w:r w:rsidRPr="004F43BA">
              <w:rPr>
                <w:rFonts w:hint="eastAsia"/>
                <w:szCs w:val="21"/>
              </w:rPr>
              <w:lastRenderedPageBreak/>
              <w:t>月经结束当天。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3</w:t>
            </w:r>
            <w:r w:rsidRPr="004F43BA">
              <w:rPr>
                <w:rFonts w:hint="eastAsia"/>
                <w:szCs w:val="21"/>
              </w:rPr>
              <w:t>、后续尽量联系受试者在时间窗内进行访视。</w:t>
            </w:r>
          </w:p>
          <w:p w:rsidR="00D42507" w:rsidRPr="00D42507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7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报告本中心伦理委员会</w:t>
            </w:r>
          </w:p>
          <w:p w:rsidR="00D42507" w:rsidRPr="00D42507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报告本中心伦理委员会</w:t>
            </w:r>
          </w:p>
          <w:p w:rsidR="00D42507" w:rsidRPr="00D42507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、报告本中心伦理委员会；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2</w:t>
            </w:r>
            <w:r w:rsidRPr="004F43BA">
              <w:rPr>
                <w:rFonts w:hint="eastAsia"/>
                <w:szCs w:val="21"/>
              </w:rPr>
              <w:t>、每次发放研究产品时嘱咐受试者经期不停服，连续服用研究产品。</w:t>
            </w:r>
          </w:p>
          <w:p w:rsidR="00D42507" w:rsidRPr="00D42507" w:rsidRDefault="00D4250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D1</w:t>
            </w:r>
            <w:r>
              <w:rPr>
                <w:rFonts w:hint="eastAsia"/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、报告本中心伦理委员会；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2</w:t>
            </w:r>
            <w:r w:rsidRPr="004F43BA">
              <w:rPr>
                <w:rFonts w:hint="eastAsia"/>
                <w:szCs w:val="21"/>
              </w:rPr>
              <w:t>、监查员发现后再次提醒研究者随访时间窗中月经结束后第</w:t>
            </w: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天指的是月经结束后面</w:t>
            </w: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天，非月经结束当天。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3</w:t>
            </w:r>
            <w:r w:rsidRPr="004F43BA">
              <w:rPr>
                <w:rFonts w:hint="eastAsia"/>
                <w:szCs w:val="21"/>
              </w:rPr>
              <w:t>、后续尽量联系受试者在时间窗内进行访视。</w:t>
            </w:r>
          </w:p>
          <w:p w:rsidR="00DC7617" w:rsidRPr="00DC7617" w:rsidRDefault="00DC761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D1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、报告本中心伦理委员会；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2</w:t>
            </w:r>
            <w:r w:rsidRPr="004F43BA">
              <w:rPr>
                <w:rFonts w:hint="eastAsia"/>
                <w:szCs w:val="21"/>
              </w:rPr>
              <w:t>、提醒研究者加强受试者教育，提高受试者依从性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3</w:t>
            </w:r>
            <w:r w:rsidRPr="004F43BA">
              <w:rPr>
                <w:rFonts w:hint="eastAsia"/>
                <w:szCs w:val="21"/>
              </w:rPr>
              <w:t>、后续尽量联系受试者在时间窗内进行访视。</w:t>
            </w:r>
          </w:p>
          <w:p w:rsidR="00DC7617" w:rsidRPr="00DC7617" w:rsidRDefault="00DC761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D1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、报告本中心伦理委员会</w:t>
            </w:r>
          </w:p>
          <w:p w:rsidR="004F43BA" w:rsidRDefault="004F43BA" w:rsidP="00DC7617">
            <w:pPr>
              <w:pStyle w:val="a9"/>
              <w:spacing w:line="276" w:lineRule="auto"/>
              <w:rPr>
                <w:szCs w:val="21"/>
              </w:rPr>
            </w:pPr>
            <w:r w:rsidRPr="004F43BA">
              <w:rPr>
                <w:rFonts w:hint="eastAsia"/>
                <w:szCs w:val="21"/>
              </w:rPr>
              <w:t>2</w:t>
            </w:r>
            <w:r w:rsidRPr="004F43BA">
              <w:rPr>
                <w:rFonts w:hint="eastAsia"/>
                <w:szCs w:val="21"/>
              </w:rPr>
              <w:t>、监查员已提醒研究者后续可选择依从性好的受试者参加研究。</w:t>
            </w:r>
          </w:p>
          <w:p w:rsidR="00DC7617" w:rsidRPr="00DC7617" w:rsidRDefault="00DC7617" w:rsidP="00DC7617">
            <w:pPr>
              <w:pStyle w:val="a9"/>
              <w:spacing w:line="276" w:lineRule="auto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</w:t>
            </w:r>
            <w:r>
              <w:rPr>
                <w:b/>
                <w:szCs w:val="21"/>
              </w:rPr>
              <w:t>D1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处理措施：</w:t>
            </w:r>
          </w:p>
          <w:p w:rsidR="004F43BA" w:rsidRPr="004F43BA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1</w:t>
            </w:r>
            <w:r w:rsidRPr="004F43BA">
              <w:rPr>
                <w:rFonts w:hint="eastAsia"/>
                <w:szCs w:val="21"/>
              </w:rPr>
              <w:t>、报告本中心伦理委员会</w:t>
            </w:r>
          </w:p>
          <w:p w:rsidR="00521212" w:rsidRPr="00137FD4" w:rsidRDefault="004F43BA" w:rsidP="00DC7617">
            <w:pPr>
              <w:pStyle w:val="a9"/>
              <w:spacing w:line="276" w:lineRule="auto"/>
              <w:rPr>
                <w:rFonts w:hint="eastAsia"/>
                <w:szCs w:val="21"/>
              </w:rPr>
            </w:pPr>
            <w:r w:rsidRPr="004F43BA">
              <w:rPr>
                <w:rFonts w:hint="eastAsia"/>
                <w:szCs w:val="21"/>
              </w:rPr>
              <w:t>2</w:t>
            </w:r>
            <w:r w:rsidRPr="004F43BA">
              <w:rPr>
                <w:rFonts w:hint="eastAsia"/>
                <w:szCs w:val="21"/>
              </w:rPr>
              <w:t>、监查员已提醒研究者后续可选择依从性好的受试者参加研究。</w:t>
            </w:r>
          </w:p>
        </w:tc>
      </w:tr>
      <w:tr w:rsidR="00687CF1" w:rsidRPr="00946692" w:rsidTr="00A8324F">
        <w:trPr>
          <w:trHeight w:val="536"/>
        </w:trPr>
        <w:tc>
          <w:tcPr>
            <w:tcW w:w="2081" w:type="dxa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 w:rsidRPr="00137FD4">
              <w:rPr>
                <w:rFonts w:hint="eastAsia"/>
                <w:szCs w:val="21"/>
              </w:rPr>
              <w:t>报告人签字</w:t>
            </w:r>
          </w:p>
        </w:tc>
        <w:tc>
          <w:tcPr>
            <w:tcW w:w="2176" w:type="dxa"/>
            <w:gridSpan w:val="3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  <w:rPr>
                <w:szCs w:val="21"/>
              </w:rPr>
            </w:pPr>
          </w:p>
        </w:tc>
        <w:tc>
          <w:tcPr>
            <w:tcW w:w="2176" w:type="dxa"/>
            <w:gridSpan w:val="2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351" w:type="dxa"/>
            <w:gridSpan w:val="2"/>
            <w:shd w:val="clear" w:color="auto" w:fill="auto"/>
            <w:vAlign w:val="center"/>
          </w:tcPr>
          <w:p w:rsidR="00687CF1" w:rsidRPr="00137FD4" w:rsidRDefault="00687CF1" w:rsidP="00DC7617">
            <w:pPr>
              <w:pStyle w:val="a9"/>
              <w:spacing w:line="276" w:lineRule="auto"/>
              <w:rPr>
                <w:szCs w:val="21"/>
              </w:rPr>
            </w:pPr>
          </w:p>
        </w:tc>
      </w:tr>
    </w:tbl>
    <w:p w:rsidR="00994D9B" w:rsidRDefault="00994D9B" w:rsidP="00DC7617">
      <w:pPr>
        <w:pStyle w:val="a9"/>
        <w:spacing w:line="276" w:lineRule="auto"/>
      </w:pPr>
    </w:p>
    <w:sectPr w:rsidR="0099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EE4" w:rsidRDefault="00D82EE4" w:rsidP="009F5F54">
      <w:r>
        <w:separator/>
      </w:r>
    </w:p>
  </w:endnote>
  <w:endnote w:type="continuationSeparator" w:id="0">
    <w:p w:rsidR="00D82EE4" w:rsidRDefault="00D82EE4" w:rsidP="009F5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EE4" w:rsidRDefault="00D82EE4" w:rsidP="009F5F54">
      <w:r>
        <w:separator/>
      </w:r>
    </w:p>
  </w:footnote>
  <w:footnote w:type="continuationSeparator" w:id="0">
    <w:p w:rsidR="00D82EE4" w:rsidRDefault="00D82EE4" w:rsidP="009F5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74934"/>
    <w:multiLevelType w:val="hybridMultilevel"/>
    <w:tmpl w:val="03120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D5C6D"/>
    <w:multiLevelType w:val="hybridMultilevel"/>
    <w:tmpl w:val="90A82162"/>
    <w:lvl w:ilvl="0" w:tplc="57222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3E"/>
    <w:rsid w:val="00096E35"/>
    <w:rsid w:val="002105D6"/>
    <w:rsid w:val="002D767A"/>
    <w:rsid w:val="00326D24"/>
    <w:rsid w:val="004A537F"/>
    <w:rsid w:val="004F43BA"/>
    <w:rsid w:val="00521212"/>
    <w:rsid w:val="005A502F"/>
    <w:rsid w:val="00687CF1"/>
    <w:rsid w:val="00756962"/>
    <w:rsid w:val="007E6271"/>
    <w:rsid w:val="00821774"/>
    <w:rsid w:val="00994D9B"/>
    <w:rsid w:val="009F5F54"/>
    <w:rsid w:val="00A8324F"/>
    <w:rsid w:val="00AB34CB"/>
    <w:rsid w:val="00C43AB5"/>
    <w:rsid w:val="00D3313E"/>
    <w:rsid w:val="00D42507"/>
    <w:rsid w:val="00D82EE4"/>
    <w:rsid w:val="00DC7617"/>
    <w:rsid w:val="00F4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45D54"/>
  <w15:chartTrackingRefBased/>
  <w15:docId w15:val="{E51B2213-D030-46E9-8A1C-E44496D0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F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F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F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F54"/>
    <w:rPr>
      <w:sz w:val="18"/>
      <w:szCs w:val="18"/>
    </w:rPr>
  </w:style>
  <w:style w:type="paragraph" w:styleId="a7">
    <w:name w:val="Plain Text"/>
    <w:basedOn w:val="a"/>
    <w:link w:val="1"/>
    <w:rsid w:val="009F5F54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character" w:customStyle="1" w:styleId="a8">
    <w:name w:val="纯文本 字符"/>
    <w:basedOn w:val="a0"/>
    <w:uiPriority w:val="99"/>
    <w:semiHidden/>
    <w:rsid w:val="009F5F54"/>
    <w:rPr>
      <w:rFonts w:asciiTheme="minorEastAsia" w:hAnsi="Courier New" w:cs="Courier New"/>
      <w:szCs w:val="24"/>
    </w:rPr>
  </w:style>
  <w:style w:type="character" w:customStyle="1" w:styleId="1">
    <w:name w:val="纯文本 字符1"/>
    <w:link w:val="a7"/>
    <w:rsid w:val="009F5F54"/>
    <w:rPr>
      <w:rFonts w:ascii="Courier New" w:eastAsia="宋体" w:hAnsi="Courier New" w:cs="Times New Roman"/>
      <w:kern w:val="0"/>
      <w:sz w:val="20"/>
      <w:szCs w:val="20"/>
      <w:lang w:eastAsia="en-US"/>
    </w:rPr>
  </w:style>
  <w:style w:type="paragraph" w:customStyle="1" w:styleId="Default">
    <w:name w:val="Default"/>
    <w:rsid w:val="00A8324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No Spacing"/>
    <w:uiPriority w:val="1"/>
    <w:qFormat/>
    <w:rsid w:val="00687CF1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6AA46-C85B-4F14-B4AB-524F965A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616</Words>
  <Characters>3515</Characters>
  <Application>Microsoft Office Word</Application>
  <DocSecurity>0</DocSecurity>
  <Lines>29</Lines>
  <Paragraphs>8</Paragraphs>
  <ScaleCrop>false</ScaleCrop>
  <Company>HJG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yanpeng</dc:creator>
  <cp:keywords/>
  <dc:description/>
  <cp:lastModifiedBy>liu yanpeng</cp:lastModifiedBy>
  <cp:revision>7</cp:revision>
  <dcterms:created xsi:type="dcterms:W3CDTF">2020-04-01T10:59:00Z</dcterms:created>
  <dcterms:modified xsi:type="dcterms:W3CDTF">2020-06-19T13:37:00Z</dcterms:modified>
</cp:coreProperties>
</file>