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5DD7A2" w14:textId="77777777" w:rsidR="000B1EE2" w:rsidRDefault="000B1EE2"/>
    <w:p w14:paraId="7626377E" w14:textId="77777777" w:rsidR="006436D2" w:rsidRPr="004C7E01" w:rsidRDefault="006436D2" w:rsidP="005B240B">
      <w:pPr>
        <w:jc w:val="center"/>
        <w:rPr>
          <w:b/>
          <w:color w:val="000000"/>
          <w:sz w:val="28"/>
        </w:rPr>
      </w:pPr>
      <w:r w:rsidRPr="004C7E01">
        <w:rPr>
          <w:rFonts w:hint="eastAsia"/>
          <w:b/>
          <w:color w:val="000000"/>
          <w:sz w:val="28"/>
        </w:rPr>
        <w:t>香</w:t>
      </w:r>
      <w:proofErr w:type="gramStart"/>
      <w:r w:rsidRPr="004C7E01">
        <w:rPr>
          <w:rFonts w:hint="eastAsia"/>
          <w:b/>
          <w:color w:val="000000"/>
          <w:sz w:val="28"/>
        </w:rPr>
        <w:t>橘乳癖宁胶囊</w:t>
      </w:r>
      <w:proofErr w:type="gramEnd"/>
      <w:r w:rsidRPr="004C7E01">
        <w:rPr>
          <w:rFonts w:hint="eastAsia"/>
          <w:b/>
          <w:color w:val="000000"/>
          <w:sz w:val="28"/>
        </w:rPr>
        <w:t>治疗乳腺增生病（肝郁痰凝证）有效性和安全性的</w:t>
      </w:r>
    </w:p>
    <w:p w14:paraId="332BCE37" w14:textId="77777777" w:rsidR="006436D2" w:rsidRPr="004C7E01" w:rsidRDefault="006436D2" w:rsidP="006436D2">
      <w:pPr>
        <w:jc w:val="center"/>
        <w:rPr>
          <w:b/>
          <w:color w:val="000000"/>
          <w:sz w:val="28"/>
        </w:rPr>
      </w:pPr>
      <w:r w:rsidRPr="004C7E01">
        <w:rPr>
          <w:rFonts w:hint="eastAsia"/>
          <w:b/>
          <w:color w:val="000000"/>
          <w:sz w:val="28"/>
        </w:rPr>
        <w:t>随机、双盲、安慰剂平行对照、多中心Ⅱ期临床研究</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23"/>
        <w:gridCol w:w="5109"/>
        <w:gridCol w:w="5430"/>
        <w:gridCol w:w="3082"/>
      </w:tblGrid>
      <w:tr w:rsidR="005B240B" w14:paraId="2E5D640C" w14:textId="77777777" w:rsidTr="00672DBC">
        <w:trPr>
          <w:trHeight w:val="20"/>
        </w:trPr>
        <w:tc>
          <w:tcPr>
            <w:tcW w:w="412" w:type="pct"/>
            <w:tcBorders>
              <w:top w:val="single" w:sz="4" w:space="0" w:color="000000"/>
              <w:left w:val="single" w:sz="4" w:space="0" w:color="000000"/>
              <w:bottom w:val="single" w:sz="4" w:space="0" w:color="000000"/>
              <w:right w:val="single" w:sz="4" w:space="0" w:color="000000"/>
            </w:tcBorders>
            <w:vAlign w:val="center"/>
            <w:hideMark/>
          </w:tcPr>
          <w:p w14:paraId="3292EE1F" w14:textId="77777777" w:rsidR="005B240B" w:rsidRDefault="005B240B" w:rsidP="00672DBC">
            <w:pPr>
              <w:rPr>
                <w:b/>
                <w:szCs w:val="21"/>
              </w:rPr>
            </w:pPr>
            <w:r w:rsidRPr="00C45D92">
              <w:rPr>
                <w:rFonts w:hint="eastAsia"/>
                <w:b/>
                <w:szCs w:val="21"/>
              </w:rPr>
              <w:t>版本号</w:t>
            </w:r>
            <w:r w:rsidRPr="00C45D92">
              <w:rPr>
                <w:rFonts w:hint="eastAsia"/>
                <w:b/>
                <w:szCs w:val="21"/>
              </w:rPr>
              <w:t>/</w:t>
            </w:r>
          </w:p>
          <w:p w14:paraId="49C5E271" w14:textId="77777777" w:rsidR="005B240B" w:rsidRPr="00C45D92" w:rsidRDefault="005B240B" w:rsidP="00672DBC">
            <w:pPr>
              <w:rPr>
                <w:b/>
                <w:szCs w:val="21"/>
              </w:rPr>
            </w:pPr>
            <w:r w:rsidRPr="00C45D92">
              <w:rPr>
                <w:rFonts w:hint="eastAsia"/>
                <w:b/>
                <w:szCs w:val="21"/>
              </w:rPr>
              <w:t>版本日期</w:t>
            </w:r>
          </w:p>
        </w:tc>
        <w:tc>
          <w:tcPr>
            <w:tcW w:w="1721" w:type="pct"/>
            <w:tcBorders>
              <w:top w:val="single" w:sz="4" w:space="0" w:color="000000"/>
              <w:left w:val="single" w:sz="4" w:space="0" w:color="000000"/>
              <w:bottom w:val="single" w:sz="4" w:space="0" w:color="000000"/>
              <w:right w:val="single" w:sz="4" w:space="0" w:color="000000"/>
            </w:tcBorders>
            <w:vAlign w:val="center"/>
            <w:hideMark/>
          </w:tcPr>
          <w:p w14:paraId="478CF852" w14:textId="77777777" w:rsidR="005B240B" w:rsidRPr="00C45D92" w:rsidRDefault="005B240B" w:rsidP="006436D2">
            <w:pPr>
              <w:rPr>
                <w:b/>
                <w:szCs w:val="21"/>
              </w:rPr>
            </w:pPr>
            <w:r w:rsidRPr="00C45D92">
              <w:rPr>
                <w:b/>
                <w:szCs w:val="21"/>
              </w:rPr>
              <w:t xml:space="preserve">V </w:t>
            </w:r>
            <w:r w:rsidR="006436D2">
              <w:rPr>
                <w:b/>
                <w:szCs w:val="21"/>
              </w:rPr>
              <w:t>2</w:t>
            </w:r>
            <w:r w:rsidR="006436D2">
              <w:rPr>
                <w:rFonts w:hint="eastAsia"/>
                <w:b/>
                <w:szCs w:val="21"/>
              </w:rPr>
              <w:t>.2</w:t>
            </w:r>
            <w:r w:rsidRPr="00C45D92">
              <w:rPr>
                <w:b/>
                <w:szCs w:val="21"/>
              </w:rPr>
              <w:t xml:space="preserve">   </w:t>
            </w:r>
            <w:r w:rsidR="00811927">
              <w:rPr>
                <w:b/>
                <w:szCs w:val="21"/>
                <w:u w:val="single"/>
              </w:rPr>
              <w:t>2019</w:t>
            </w:r>
            <w:r w:rsidRPr="00C45D92">
              <w:rPr>
                <w:rFonts w:hint="eastAsia"/>
                <w:b/>
                <w:szCs w:val="21"/>
              </w:rPr>
              <w:t>年</w:t>
            </w:r>
            <w:r w:rsidR="006436D2">
              <w:rPr>
                <w:b/>
                <w:szCs w:val="21"/>
                <w:u w:val="single"/>
              </w:rPr>
              <w:t>09</w:t>
            </w:r>
            <w:r w:rsidRPr="00C45D92">
              <w:rPr>
                <w:rFonts w:hint="eastAsia"/>
                <w:b/>
                <w:szCs w:val="21"/>
              </w:rPr>
              <w:t>月</w:t>
            </w:r>
            <w:r w:rsidR="006436D2">
              <w:rPr>
                <w:b/>
                <w:szCs w:val="21"/>
                <w:u w:val="single"/>
              </w:rPr>
              <w:t>18</w:t>
            </w:r>
            <w:r w:rsidRPr="00C45D92">
              <w:rPr>
                <w:rFonts w:hint="eastAsia"/>
                <w:b/>
                <w:szCs w:val="21"/>
              </w:rPr>
              <w:t>日</w:t>
            </w:r>
          </w:p>
        </w:tc>
        <w:tc>
          <w:tcPr>
            <w:tcW w:w="1829" w:type="pct"/>
            <w:tcBorders>
              <w:top w:val="single" w:sz="4" w:space="0" w:color="000000"/>
              <w:left w:val="single" w:sz="4" w:space="0" w:color="000000"/>
              <w:bottom w:val="single" w:sz="4" w:space="0" w:color="000000"/>
              <w:right w:val="single" w:sz="4" w:space="0" w:color="000000"/>
            </w:tcBorders>
            <w:vAlign w:val="center"/>
            <w:hideMark/>
          </w:tcPr>
          <w:p w14:paraId="061F3184" w14:textId="77777777" w:rsidR="005B240B" w:rsidRPr="00C45D92" w:rsidRDefault="005B240B" w:rsidP="006436D2">
            <w:pPr>
              <w:rPr>
                <w:b/>
                <w:szCs w:val="21"/>
              </w:rPr>
            </w:pPr>
            <w:r w:rsidRPr="00C45D92">
              <w:rPr>
                <w:b/>
                <w:szCs w:val="21"/>
              </w:rPr>
              <w:t>V 2.</w:t>
            </w:r>
            <w:r w:rsidR="006436D2">
              <w:rPr>
                <w:b/>
                <w:szCs w:val="21"/>
              </w:rPr>
              <w:t>3</w:t>
            </w:r>
            <w:r w:rsidRPr="00C45D92">
              <w:rPr>
                <w:b/>
                <w:szCs w:val="21"/>
              </w:rPr>
              <w:t xml:space="preserve">   </w:t>
            </w:r>
            <w:r w:rsidR="00811927">
              <w:rPr>
                <w:b/>
                <w:szCs w:val="21"/>
                <w:u w:val="single"/>
              </w:rPr>
              <w:t>2020</w:t>
            </w:r>
            <w:r w:rsidRPr="00C45D92">
              <w:rPr>
                <w:rFonts w:hint="eastAsia"/>
                <w:b/>
                <w:szCs w:val="21"/>
              </w:rPr>
              <w:t>年</w:t>
            </w:r>
            <w:r w:rsidR="00811927">
              <w:rPr>
                <w:b/>
                <w:szCs w:val="21"/>
                <w:u w:val="single"/>
              </w:rPr>
              <w:t>06</w:t>
            </w:r>
            <w:r w:rsidRPr="00C45D92">
              <w:rPr>
                <w:rFonts w:hint="eastAsia"/>
                <w:b/>
                <w:szCs w:val="21"/>
              </w:rPr>
              <w:t>月</w:t>
            </w:r>
            <w:r w:rsidR="00093E41">
              <w:rPr>
                <w:rFonts w:hint="eastAsia"/>
                <w:b/>
                <w:szCs w:val="21"/>
                <w:u w:val="single"/>
              </w:rPr>
              <w:t>16</w:t>
            </w:r>
            <w:r w:rsidRPr="00C45D92">
              <w:rPr>
                <w:rFonts w:hint="eastAsia"/>
                <w:b/>
                <w:szCs w:val="21"/>
              </w:rPr>
              <w:t>日</w:t>
            </w:r>
          </w:p>
        </w:tc>
        <w:tc>
          <w:tcPr>
            <w:tcW w:w="1038" w:type="pct"/>
            <w:vMerge w:val="restart"/>
            <w:tcBorders>
              <w:top w:val="single" w:sz="4" w:space="0" w:color="000000"/>
              <w:left w:val="single" w:sz="4" w:space="0" w:color="000000"/>
              <w:bottom w:val="single" w:sz="4" w:space="0" w:color="000000"/>
              <w:right w:val="single" w:sz="4" w:space="0" w:color="000000"/>
            </w:tcBorders>
            <w:vAlign w:val="center"/>
            <w:hideMark/>
          </w:tcPr>
          <w:p w14:paraId="75BB529E" w14:textId="77777777" w:rsidR="005B240B" w:rsidRPr="00C45D92" w:rsidRDefault="005B240B" w:rsidP="00672DBC">
            <w:pPr>
              <w:rPr>
                <w:b/>
                <w:szCs w:val="21"/>
              </w:rPr>
            </w:pPr>
            <w:r w:rsidRPr="00C45D92">
              <w:rPr>
                <w:rFonts w:hint="eastAsia"/>
                <w:b/>
                <w:szCs w:val="21"/>
              </w:rPr>
              <w:t>修改原因</w:t>
            </w:r>
          </w:p>
        </w:tc>
      </w:tr>
      <w:tr w:rsidR="005B240B" w14:paraId="0F643EBC" w14:textId="77777777" w:rsidTr="00672DBC">
        <w:trPr>
          <w:trHeight w:val="498"/>
        </w:trPr>
        <w:tc>
          <w:tcPr>
            <w:tcW w:w="412" w:type="pct"/>
            <w:tcBorders>
              <w:top w:val="single" w:sz="4" w:space="0" w:color="000000"/>
              <w:left w:val="single" w:sz="4" w:space="0" w:color="000000"/>
              <w:bottom w:val="single" w:sz="4" w:space="0" w:color="000000"/>
              <w:right w:val="single" w:sz="4" w:space="0" w:color="000000"/>
            </w:tcBorders>
            <w:vAlign w:val="center"/>
            <w:hideMark/>
          </w:tcPr>
          <w:p w14:paraId="4FD3E285" w14:textId="77777777" w:rsidR="005B240B" w:rsidRPr="00C45D92" w:rsidRDefault="005B240B" w:rsidP="00672DBC">
            <w:pPr>
              <w:rPr>
                <w:b/>
                <w:szCs w:val="21"/>
              </w:rPr>
            </w:pPr>
            <w:r w:rsidRPr="00C45D92">
              <w:rPr>
                <w:rFonts w:hint="eastAsia"/>
                <w:b/>
                <w:szCs w:val="21"/>
              </w:rPr>
              <w:t>序号</w:t>
            </w:r>
          </w:p>
        </w:tc>
        <w:tc>
          <w:tcPr>
            <w:tcW w:w="1721" w:type="pct"/>
            <w:tcBorders>
              <w:top w:val="single" w:sz="4" w:space="0" w:color="000000"/>
              <w:left w:val="single" w:sz="4" w:space="0" w:color="000000"/>
              <w:bottom w:val="single" w:sz="4" w:space="0" w:color="000000"/>
              <w:right w:val="single" w:sz="4" w:space="0" w:color="000000"/>
            </w:tcBorders>
            <w:vAlign w:val="center"/>
            <w:hideMark/>
          </w:tcPr>
          <w:p w14:paraId="0EA5F112" w14:textId="77777777" w:rsidR="005B240B" w:rsidRPr="00C45D92" w:rsidRDefault="005B240B" w:rsidP="00672DBC">
            <w:pPr>
              <w:rPr>
                <w:b/>
                <w:szCs w:val="21"/>
              </w:rPr>
            </w:pPr>
            <w:r w:rsidRPr="00C45D92">
              <w:rPr>
                <w:rFonts w:hint="eastAsia"/>
                <w:b/>
                <w:szCs w:val="21"/>
              </w:rPr>
              <w:t>修改</w:t>
            </w:r>
            <w:proofErr w:type="gramStart"/>
            <w:r w:rsidRPr="00C45D92">
              <w:rPr>
                <w:rFonts w:hint="eastAsia"/>
                <w:b/>
                <w:szCs w:val="21"/>
              </w:rPr>
              <w:t>前内容</w:t>
            </w:r>
            <w:proofErr w:type="gramEnd"/>
          </w:p>
        </w:tc>
        <w:tc>
          <w:tcPr>
            <w:tcW w:w="1829" w:type="pct"/>
            <w:tcBorders>
              <w:top w:val="single" w:sz="4" w:space="0" w:color="000000"/>
              <w:left w:val="single" w:sz="4" w:space="0" w:color="000000"/>
              <w:bottom w:val="single" w:sz="4" w:space="0" w:color="000000"/>
              <w:right w:val="single" w:sz="4" w:space="0" w:color="000000"/>
            </w:tcBorders>
            <w:vAlign w:val="center"/>
            <w:hideMark/>
          </w:tcPr>
          <w:p w14:paraId="0F1DF078" w14:textId="77777777" w:rsidR="005B240B" w:rsidRPr="00C45D92" w:rsidRDefault="005B240B" w:rsidP="00672DBC">
            <w:pPr>
              <w:rPr>
                <w:b/>
                <w:szCs w:val="21"/>
              </w:rPr>
            </w:pPr>
            <w:r w:rsidRPr="00C45D92">
              <w:rPr>
                <w:rFonts w:hint="eastAsia"/>
                <w:b/>
                <w:szCs w:val="21"/>
              </w:rPr>
              <w:t>修改</w:t>
            </w:r>
            <w:proofErr w:type="gramStart"/>
            <w:r w:rsidRPr="00C45D92">
              <w:rPr>
                <w:rFonts w:hint="eastAsia"/>
                <w:b/>
                <w:szCs w:val="21"/>
              </w:rPr>
              <w:t>后内容</w:t>
            </w:r>
            <w:proofErr w:type="gramEnd"/>
          </w:p>
        </w:tc>
        <w:tc>
          <w:tcPr>
            <w:tcW w:w="1038" w:type="pct"/>
            <w:vMerge/>
            <w:tcBorders>
              <w:top w:val="single" w:sz="4" w:space="0" w:color="000000"/>
              <w:left w:val="single" w:sz="4" w:space="0" w:color="000000"/>
              <w:bottom w:val="single" w:sz="4" w:space="0" w:color="000000"/>
              <w:right w:val="single" w:sz="4" w:space="0" w:color="000000"/>
            </w:tcBorders>
            <w:vAlign w:val="center"/>
            <w:hideMark/>
          </w:tcPr>
          <w:p w14:paraId="0A9EF687" w14:textId="77777777" w:rsidR="005B240B" w:rsidRPr="00C45D92" w:rsidRDefault="005B240B" w:rsidP="00672DBC">
            <w:pPr>
              <w:widowControl/>
              <w:jc w:val="left"/>
              <w:rPr>
                <w:b/>
                <w:szCs w:val="21"/>
              </w:rPr>
            </w:pPr>
          </w:p>
        </w:tc>
      </w:tr>
      <w:tr w:rsidR="005B240B" w14:paraId="034E616D" w14:textId="77777777" w:rsidTr="00672DBC">
        <w:trPr>
          <w:trHeight w:val="690"/>
        </w:trPr>
        <w:tc>
          <w:tcPr>
            <w:tcW w:w="412" w:type="pct"/>
            <w:tcBorders>
              <w:top w:val="single" w:sz="4" w:space="0" w:color="000000"/>
              <w:left w:val="single" w:sz="4" w:space="0" w:color="000000"/>
              <w:bottom w:val="single" w:sz="4" w:space="0" w:color="000000"/>
              <w:right w:val="single" w:sz="4" w:space="0" w:color="000000"/>
            </w:tcBorders>
            <w:vAlign w:val="center"/>
            <w:hideMark/>
          </w:tcPr>
          <w:p w14:paraId="13C773CA" w14:textId="77777777" w:rsidR="005B240B" w:rsidRPr="00C45D92" w:rsidRDefault="005B240B" w:rsidP="00672DBC">
            <w:pPr>
              <w:rPr>
                <w:b/>
                <w:szCs w:val="21"/>
              </w:rPr>
            </w:pPr>
            <w:r w:rsidRPr="00C45D92">
              <w:rPr>
                <w:b/>
                <w:szCs w:val="21"/>
              </w:rPr>
              <w:t>1</w:t>
            </w:r>
          </w:p>
        </w:tc>
        <w:tc>
          <w:tcPr>
            <w:tcW w:w="1721" w:type="pct"/>
            <w:tcBorders>
              <w:top w:val="single" w:sz="4" w:space="0" w:color="000000"/>
              <w:left w:val="single" w:sz="4" w:space="0" w:color="000000"/>
              <w:bottom w:val="single" w:sz="4" w:space="0" w:color="000000"/>
              <w:right w:val="single" w:sz="4" w:space="0" w:color="000000"/>
            </w:tcBorders>
            <w:vAlign w:val="center"/>
            <w:hideMark/>
          </w:tcPr>
          <w:p w14:paraId="65B1B66A" w14:textId="77777777" w:rsidR="005B240B" w:rsidRPr="006436D2" w:rsidRDefault="006436D2" w:rsidP="00672DBC">
            <w:pPr>
              <w:rPr>
                <w:b/>
                <w:szCs w:val="21"/>
              </w:rPr>
            </w:pPr>
            <w:r>
              <w:rPr>
                <w:rFonts w:hint="eastAsia"/>
                <w:b/>
                <w:szCs w:val="21"/>
              </w:rPr>
              <w:t>摘要</w:t>
            </w:r>
            <w:r>
              <w:rPr>
                <w:b/>
                <w:szCs w:val="21"/>
              </w:rPr>
              <w:t>-</w:t>
            </w:r>
            <w:r w:rsidRPr="006436D2">
              <w:rPr>
                <w:rFonts w:hint="eastAsia"/>
                <w:b/>
                <w:szCs w:val="21"/>
              </w:rPr>
              <w:t>排除</w:t>
            </w:r>
            <w:r w:rsidRPr="006436D2">
              <w:rPr>
                <w:b/>
                <w:szCs w:val="21"/>
              </w:rPr>
              <w:t>标准</w:t>
            </w:r>
            <w:r w:rsidRPr="006436D2">
              <w:rPr>
                <w:rFonts w:hint="eastAsia"/>
                <w:b/>
                <w:szCs w:val="21"/>
              </w:rPr>
              <w:t>6</w:t>
            </w:r>
            <w:r w:rsidRPr="006436D2">
              <w:rPr>
                <w:rFonts w:hint="eastAsia"/>
                <w:b/>
                <w:szCs w:val="21"/>
              </w:rPr>
              <w:t>：</w:t>
            </w:r>
            <w:r w:rsidRPr="006436D2">
              <w:rPr>
                <w:color w:val="000000"/>
                <w:kern w:val="0"/>
                <w:szCs w:val="21"/>
              </w:rPr>
              <w:t>ALT</w:t>
            </w:r>
            <w:r w:rsidRPr="006436D2">
              <w:rPr>
                <w:color w:val="000000"/>
                <w:kern w:val="0"/>
                <w:szCs w:val="21"/>
              </w:rPr>
              <w:t>、</w:t>
            </w:r>
            <w:r w:rsidRPr="006436D2">
              <w:rPr>
                <w:color w:val="000000"/>
                <w:kern w:val="0"/>
                <w:szCs w:val="21"/>
              </w:rPr>
              <w:t>AST</w:t>
            </w:r>
            <w:r w:rsidRPr="006436D2">
              <w:rPr>
                <w:color w:val="000000"/>
                <w:kern w:val="0"/>
                <w:szCs w:val="21"/>
              </w:rPr>
              <w:t>、</w:t>
            </w:r>
            <w:r w:rsidRPr="006436D2">
              <w:rPr>
                <w:color w:val="000000"/>
                <w:kern w:val="0"/>
                <w:szCs w:val="21"/>
              </w:rPr>
              <w:t>ALP</w:t>
            </w:r>
            <w:r w:rsidRPr="006436D2">
              <w:rPr>
                <w:color w:val="000000"/>
                <w:kern w:val="0"/>
                <w:szCs w:val="21"/>
              </w:rPr>
              <w:t>、</w:t>
            </w:r>
            <w:r w:rsidRPr="006436D2">
              <w:rPr>
                <w:color w:val="000000"/>
                <w:kern w:val="0"/>
                <w:szCs w:val="21"/>
              </w:rPr>
              <w:t>TBIL</w:t>
            </w:r>
            <w:r w:rsidRPr="006436D2">
              <w:rPr>
                <w:color w:val="000000"/>
                <w:kern w:val="0"/>
                <w:szCs w:val="21"/>
              </w:rPr>
              <w:t>、</w:t>
            </w:r>
            <w:r w:rsidRPr="006436D2">
              <w:rPr>
                <w:color w:val="000000"/>
                <w:kern w:val="0"/>
                <w:szCs w:val="21"/>
              </w:rPr>
              <w:t>GGT</w:t>
            </w:r>
            <w:r w:rsidRPr="006436D2">
              <w:rPr>
                <w:color w:val="000000"/>
                <w:kern w:val="0"/>
                <w:szCs w:val="21"/>
              </w:rPr>
              <w:t>超过正常值上限；血清</w:t>
            </w:r>
            <w:r w:rsidRPr="006436D2">
              <w:rPr>
                <w:color w:val="000000"/>
                <w:kern w:val="0"/>
                <w:szCs w:val="21"/>
              </w:rPr>
              <w:t>Cr</w:t>
            </w:r>
            <w:r w:rsidRPr="006436D2">
              <w:rPr>
                <w:color w:val="000000"/>
                <w:kern w:val="0"/>
                <w:szCs w:val="21"/>
              </w:rPr>
              <w:t>、</w:t>
            </w:r>
            <w:r w:rsidRPr="006436D2">
              <w:rPr>
                <w:color w:val="000000"/>
                <w:kern w:val="0"/>
                <w:szCs w:val="21"/>
              </w:rPr>
              <w:t>BUN</w:t>
            </w:r>
            <w:r w:rsidRPr="006436D2">
              <w:rPr>
                <w:color w:val="000000"/>
                <w:kern w:val="0"/>
                <w:szCs w:val="21"/>
              </w:rPr>
              <w:t>超过正常值上限；或血、尿常规、心电图等各检查项异常且有临床意义者；</w:t>
            </w:r>
          </w:p>
        </w:tc>
        <w:tc>
          <w:tcPr>
            <w:tcW w:w="1829" w:type="pct"/>
            <w:tcBorders>
              <w:top w:val="single" w:sz="4" w:space="0" w:color="000000"/>
              <w:left w:val="single" w:sz="4" w:space="0" w:color="000000"/>
              <w:bottom w:val="single" w:sz="4" w:space="0" w:color="000000"/>
              <w:right w:val="single" w:sz="4" w:space="0" w:color="000000"/>
            </w:tcBorders>
            <w:vAlign w:val="center"/>
            <w:hideMark/>
          </w:tcPr>
          <w:p w14:paraId="6DAFFCE3" w14:textId="77777777" w:rsidR="005B240B" w:rsidRPr="006436D2" w:rsidRDefault="006436D2" w:rsidP="00672DBC">
            <w:pPr>
              <w:rPr>
                <w:b/>
                <w:szCs w:val="21"/>
              </w:rPr>
            </w:pPr>
            <w:r>
              <w:rPr>
                <w:rFonts w:hint="eastAsia"/>
                <w:b/>
                <w:szCs w:val="21"/>
              </w:rPr>
              <w:t>摘要</w:t>
            </w:r>
            <w:r>
              <w:rPr>
                <w:b/>
                <w:szCs w:val="21"/>
              </w:rPr>
              <w:t>-</w:t>
            </w:r>
            <w:r w:rsidRPr="006436D2">
              <w:rPr>
                <w:rFonts w:hint="eastAsia"/>
                <w:b/>
                <w:szCs w:val="21"/>
              </w:rPr>
              <w:t>排除</w:t>
            </w:r>
            <w:r w:rsidRPr="006436D2">
              <w:rPr>
                <w:b/>
                <w:szCs w:val="21"/>
              </w:rPr>
              <w:t>标准</w:t>
            </w:r>
            <w:r w:rsidRPr="006436D2">
              <w:rPr>
                <w:rFonts w:hint="eastAsia"/>
                <w:b/>
                <w:szCs w:val="21"/>
              </w:rPr>
              <w:t>6</w:t>
            </w:r>
            <w:r w:rsidRPr="006436D2">
              <w:rPr>
                <w:rFonts w:hint="eastAsia"/>
                <w:b/>
                <w:szCs w:val="21"/>
              </w:rPr>
              <w:t>：</w:t>
            </w:r>
            <w:r w:rsidRPr="006436D2">
              <w:rPr>
                <w:color w:val="000000"/>
                <w:kern w:val="0"/>
                <w:szCs w:val="21"/>
              </w:rPr>
              <w:t>ALT</w:t>
            </w:r>
            <w:r w:rsidRPr="006436D2">
              <w:rPr>
                <w:color w:val="000000"/>
                <w:kern w:val="0"/>
                <w:szCs w:val="21"/>
              </w:rPr>
              <w:t>、</w:t>
            </w:r>
            <w:r w:rsidRPr="006436D2">
              <w:rPr>
                <w:color w:val="000000"/>
                <w:kern w:val="0"/>
                <w:szCs w:val="21"/>
              </w:rPr>
              <w:t>AST</w:t>
            </w:r>
            <w:r w:rsidRPr="006436D2">
              <w:rPr>
                <w:color w:val="000000"/>
                <w:kern w:val="0"/>
                <w:szCs w:val="21"/>
              </w:rPr>
              <w:t>、</w:t>
            </w:r>
            <w:r w:rsidRPr="006436D2">
              <w:rPr>
                <w:color w:val="000000"/>
                <w:kern w:val="0"/>
                <w:szCs w:val="21"/>
              </w:rPr>
              <w:t>ALP</w:t>
            </w:r>
            <w:r w:rsidRPr="006436D2">
              <w:rPr>
                <w:color w:val="000000"/>
                <w:kern w:val="0"/>
                <w:szCs w:val="21"/>
              </w:rPr>
              <w:t>、</w:t>
            </w:r>
            <w:r w:rsidRPr="006436D2">
              <w:rPr>
                <w:color w:val="000000"/>
                <w:kern w:val="0"/>
                <w:szCs w:val="21"/>
              </w:rPr>
              <w:t>TBIL</w:t>
            </w:r>
            <w:r w:rsidRPr="006436D2">
              <w:rPr>
                <w:color w:val="000000"/>
                <w:kern w:val="0"/>
                <w:szCs w:val="21"/>
              </w:rPr>
              <w:t>、</w:t>
            </w:r>
            <w:r w:rsidRPr="006436D2">
              <w:rPr>
                <w:color w:val="000000"/>
                <w:kern w:val="0"/>
                <w:szCs w:val="21"/>
              </w:rPr>
              <w:t>GGT</w:t>
            </w:r>
            <w:r w:rsidRPr="006436D2">
              <w:rPr>
                <w:color w:val="000000"/>
                <w:kern w:val="0"/>
                <w:szCs w:val="21"/>
              </w:rPr>
              <w:t>超过</w:t>
            </w:r>
            <w:r w:rsidRPr="006436D2">
              <w:rPr>
                <w:rFonts w:hint="eastAsia"/>
                <w:color w:val="000000"/>
                <w:kern w:val="0"/>
                <w:szCs w:val="21"/>
                <w:highlight w:val="yellow"/>
              </w:rPr>
              <w:t>1.</w:t>
            </w:r>
            <w:r w:rsidR="00093E41">
              <w:rPr>
                <w:rFonts w:hint="eastAsia"/>
                <w:color w:val="000000"/>
                <w:kern w:val="0"/>
                <w:szCs w:val="21"/>
                <w:highlight w:val="yellow"/>
              </w:rPr>
              <w:t>2</w:t>
            </w:r>
            <w:r w:rsidRPr="006436D2">
              <w:rPr>
                <w:rFonts w:hint="eastAsia"/>
                <w:color w:val="000000"/>
                <w:kern w:val="0"/>
                <w:szCs w:val="21"/>
                <w:highlight w:val="yellow"/>
              </w:rPr>
              <w:t>倍</w:t>
            </w:r>
            <w:r w:rsidRPr="006436D2">
              <w:rPr>
                <w:color w:val="000000"/>
                <w:kern w:val="0"/>
                <w:szCs w:val="21"/>
              </w:rPr>
              <w:t>正常值上限；血清</w:t>
            </w:r>
            <w:r w:rsidRPr="006436D2">
              <w:rPr>
                <w:color w:val="000000"/>
                <w:kern w:val="0"/>
                <w:szCs w:val="21"/>
              </w:rPr>
              <w:t>Cr</w:t>
            </w:r>
            <w:r w:rsidRPr="006436D2">
              <w:rPr>
                <w:color w:val="000000"/>
                <w:kern w:val="0"/>
                <w:szCs w:val="21"/>
              </w:rPr>
              <w:t>、</w:t>
            </w:r>
            <w:r w:rsidRPr="006436D2">
              <w:rPr>
                <w:color w:val="000000"/>
                <w:kern w:val="0"/>
                <w:szCs w:val="21"/>
              </w:rPr>
              <w:t>BUN</w:t>
            </w:r>
            <w:r w:rsidRPr="006436D2">
              <w:rPr>
                <w:color w:val="000000"/>
                <w:kern w:val="0"/>
                <w:szCs w:val="21"/>
              </w:rPr>
              <w:t>超过</w:t>
            </w:r>
            <w:r w:rsidRPr="006436D2">
              <w:rPr>
                <w:rFonts w:hint="eastAsia"/>
                <w:color w:val="000000"/>
                <w:kern w:val="0"/>
                <w:szCs w:val="21"/>
                <w:highlight w:val="yellow"/>
              </w:rPr>
              <w:t>1.</w:t>
            </w:r>
            <w:r w:rsidR="00093E41">
              <w:rPr>
                <w:rFonts w:hint="eastAsia"/>
                <w:color w:val="000000"/>
                <w:kern w:val="0"/>
                <w:szCs w:val="21"/>
                <w:highlight w:val="yellow"/>
              </w:rPr>
              <w:t>2</w:t>
            </w:r>
            <w:r w:rsidRPr="006436D2">
              <w:rPr>
                <w:rFonts w:hint="eastAsia"/>
                <w:color w:val="000000"/>
                <w:kern w:val="0"/>
                <w:szCs w:val="21"/>
                <w:highlight w:val="yellow"/>
              </w:rPr>
              <w:t>倍</w:t>
            </w:r>
            <w:r w:rsidRPr="006436D2">
              <w:rPr>
                <w:color w:val="000000"/>
                <w:kern w:val="0"/>
                <w:szCs w:val="21"/>
              </w:rPr>
              <w:t>正常值上限；或血、尿常规、心电图等各检查项异常且有临床意义者；</w:t>
            </w:r>
          </w:p>
        </w:tc>
        <w:tc>
          <w:tcPr>
            <w:tcW w:w="1038" w:type="pct"/>
            <w:tcBorders>
              <w:top w:val="single" w:sz="4" w:space="0" w:color="000000"/>
              <w:left w:val="single" w:sz="4" w:space="0" w:color="000000"/>
              <w:bottom w:val="single" w:sz="4" w:space="0" w:color="000000"/>
              <w:right w:val="single" w:sz="4" w:space="0" w:color="000000"/>
            </w:tcBorders>
            <w:vAlign w:val="center"/>
            <w:hideMark/>
          </w:tcPr>
          <w:p w14:paraId="13857E63" w14:textId="77777777" w:rsidR="005B240B" w:rsidRPr="00C45D92" w:rsidRDefault="001A093B" w:rsidP="00286A0A">
            <w:pPr>
              <w:rPr>
                <w:szCs w:val="21"/>
              </w:rPr>
            </w:pPr>
            <w:r w:rsidRPr="001A093B">
              <w:rPr>
                <w:rFonts w:hint="eastAsia"/>
                <w:szCs w:val="21"/>
              </w:rPr>
              <w:t>2.2</w:t>
            </w:r>
            <w:proofErr w:type="gramStart"/>
            <w:r w:rsidRPr="001A093B">
              <w:rPr>
                <w:rFonts w:hint="eastAsia"/>
                <w:szCs w:val="21"/>
              </w:rPr>
              <w:t>版方案</w:t>
            </w:r>
            <w:proofErr w:type="gramEnd"/>
            <w:r w:rsidRPr="001A093B">
              <w:rPr>
                <w:rFonts w:hint="eastAsia"/>
                <w:szCs w:val="21"/>
              </w:rPr>
              <w:t>排除标准</w:t>
            </w:r>
            <w:r w:rsidRPr="001A093B">
              <w:rPr>
                <w:rFonts w:hint="eastAsia"/>
                <w:szCs w:val="21"/>
              </w:rPr>
              <w:t>6</w:t>
            </w:r>
            <w:r>
              <w:rPr>
                <w:rFonts w:hint="eastAsia"/>
                <w:szCs w:val="21"/>
              </w:rPr>
              <w:t>要求</w:t>
            </w:r>
            <w:r w:rsidRPr="001A093B">
              <w:rPr>
                <w:rFonts w:hint="eastAsia"/>
                <w:szCs w:val="21"/>
              </w:rPr>
              <w:t>受试者肝功能、肾功能检测指标超过正常值上限即排除，在实际操作过程中过于严格。因实验室检查仪器误差，或受试者生活习惯等影响，均可能造成肝功能、肾功能指标轻微高于正常值范围，研究者</w:t>
            </w:r>
            <w:proofErr w:type="gramStart"/>
            <w:r w:rsidRPr="001A093B">
              <w:rPr>
                <w:rFonts w:hint="eastAsia"/>
                <w:szCs w:val="21"/>
              </w:rPr>
              <w:t>判定此</w:t>
            </w:r>
            <w:proofErr w:type="gramEnd"/>
            <w:r w:rsidRPr="001A093B">
              <w:rPr>
                <w:rFonts w:hint="eastAsia"/>
                <w:szCs w:val="21"/>
              </w:rPr>
              <w:t>异常无临床意义。因此，为避免因</w:t>
            </w:r>
            <w:r w:rsidR="00286A0A">
              <w:rPr>
                <w:rFonts w:hint="eastAsia"/>
                <w:szCs w:val="21"/>
              </w:rPr>
              <w:t>上述原因</w:t>
            </w:r>
            <w:r w:rsidRPr="001A093B">
              <w:rPr>
                <w:rFonts w:hint="eastAsia"/>
                <w:szCs w:val="21"/>
              </w:rPr>
              <w:t>，</w:t>
            </w:r>
            <w:r w:rsidR="00286A0A">
              <w:rPr>
                <w:rFonts w:hint="eastAsia"/>
                <w:szCs w:val="21"/>
              </w:rPr>
              <w:t>使受试者</w:t>
            </w:r>
            <w:r w:rsidRPr="001A093B">
              <w:rPr>
                <w:rFonts w:hint="eastAsia"/>
                <w:szCs w:val="21"/>
              </w:rPr>
              <w:t>失去香</w:t>
            </w:r>
            <w:proofErr w:type="gramStart"/>
            <w:r w:rsidRPr="001A093B">
              <w:rPr>
                <w:rFonts w:hint="eastAsia"/>
                <w:szCs w:val="21"/>
              </w:rPr>
              <w:t>橘乳癖宁胶囊</w:t>
            </w:r>
            <w:proofErr w:type="gramEnd"/>
            <w:r w:rsidRPr="001A093B">
              <w:rPr>
                <w:rFonts w:hint="eastAsia"/>
                <w:szCs w:val="21"/>
              </w:rPr>
              <w:t>的治疗机会，将“肝、肾功能超过正常值上限”改为“肝、肾功能超过</w:t>
            </w:r>
            <w:r w:rsidRPr="001A093B">
              <w:rPr>
                <w:rFonts w:hint="eastAsia"/>
                <w:szCs w:val="21"/>
              </w:rPr>
              <w:t>1.</w:t>
            </w:r>
            <w:r w:rsidR="00093E41">
              <w:rPr>
                <w:rFonts w:hint="eastAsia"/>
                <w:szCs w:val="21"/>
              </w:rPr>
              <w:t>2</w:t>
            </w:r>
            <w:r w:rsidRPr="001A093B">
              <w:rPr>
                <w:rFonts w:hint="eastAsia"/>
                <w:szCs w:val="21"/>
              </w:rPr>
              <w:t>倍正常值上限”。</w:t>
            </w:r>
          </w:p>
        </w:tc>
      </w:tr>
      <w:tr w:rsidR="005B240B" w14:paraId="3D5032BF" w14:textId="77777777" w:rsidTr="00672DBC">
        <w:trPr>
          <w:trHeight w:val="20"/>
        </w:trPr>
        <w:tc>
          <w:tcPr>
            <w:tcW w:w="412" w:type="pct"/>
            <w:tcBorders>
              <w:top w:val="single" w:sz="4" w:space="0" w:color="000000"/>
              <w:left w:val="single" w:sz="4" w:space="0" w:color="000000"/>
              <w:bottom w:val="single" w:sz="4" w:space="0" w:color="000000"/>
              <w:right w:val="single" w:sz="4" w:space="0" w:color="000000"/>
            </w:tcBorders>
            <w:vAlign w:val="center"/>
          </w:tcPr>
          <w:p w14:paraId="70FC54AF" w14:textId="77777777" w:rsidR="005B240B" w:rsidRPr="00C45D92" w:rsidRDefault="005B240B" w:rsidP="00672DBC">
            <w:pPr>
              <w:rPr>
                <w:b/>
                <w:szCs w:val="21"/>
              </w:rPr>
            </w:pPr>
            <w:r w:rsidRPr="00C45D92">
              <w:rPr>
                <w:b/>
                <w:szCs w:val="21"/>
              </w:rPr>
              <w:t>2</w:t>
            </w:r>
          </w:p>
        </w:tc>
        <w:tc>
          <w:tcPr>
            <w:tcW w:w="1721" w:type="pct"/>
            <w:tcBorders>
              <w:top w:val="single" w:sz="4" w:space="0" w:color="000000"/>
              <w:left w:val="single" w:sz="4" w:space="0" w:color="000000"/>
              <w:bottom w:val="single" w:sz="4" w:space="0" w:color="000000"/>
              <w:right w:val="single" w:sz="4" w:space="0" w:color="000000"/>
            </w:tcBorders>
            <w:vAlign w:val="center"/>
          </w:tcPr>
          <w:p w14:paraId="1B499F5C" w14:textId="77777777" w:rsidR="005B240B" w:rsidRPr="00C45D92" w:rsidRDefault="001A093B" w:rsidP="00672DBC">
            <w:pPr>
              <w:rPr>
                <w:szCs w:val="21"/>
              </w:rPr>
            </w:pPr>
            <w:r w:rsidRPr="001A093B">
              <w:rPr>
                <w:rFonts w:hint="eastAsia"/>
                <w:b/>
                <w:color w:val="000000"/>
                <w:kern w:val="0"/>
                <w:szCs w:val="21"/>
              </w:rPr>
              <w:t>摘要</w:t>
            </w:r>
            <w:r w:rsidRPr="001A093B">
              <w:rPr>
                <w:rFonts w:hint="eastAsia"/>
                <w:b/>
                <w:color w:val="000000"/>
                <w:kern w:val="0"/>
                <w:szCs w:val="21"/>
              </w:rPr>
              <w:t>-</w:t>
            </w:r>
            <w:r w:rsidR="006436D2" w:rsidRPr="001A093B">
              <w:rPr>
                <w:rFonts w:hint="eastAsia"/>
                <w:b/>
                <w:color w:val="000000"/>
                <w:kern w:val="0"/>
                <w:szCs w:val="21"/>
              </w:rPr>
              <w:t>排除</w:t>
            </w:r>
            <w:r w:rsidR="006436D2" w:rsidRPr="001A093B">
              <w:rPr>
                <w:b/>
                <w:color w:val="000000"/>
                <w:kern w:val="0"/>
                <w:szCs w:val="21"/>
              </w:rPr>
              <w:t>标准</w:t>
            </w:r>
            <w:r w:rsidR="006436D2" w:rsidRPr="001A093B">
              <w:rPr>
                <w:rFonts w:hint="eastAsia"/>
                <w:b/>
                <w:color w:val="000000"/>
                <w:kern w:val="0"/>
                <w:szCs w:val="21"/>
              </w:rPr>
              <w:t>8</w:t>
            </w:r>
            <w:r w:rsidR="006436D2" w:rsidRPr="001A093B">
              <w:rPr>
                <w:rFonts w:hint="eastAsia"/>
                <w:b/>
                <w:color w:val="000000"/>
                <w:kern w:val="0"/>
                <w:szCs w:val="21"/>
              </w:rPr>
              <w:t>：</w:t>
            </w:r>
            <w:r w:rsidR="006436D2" w:rsidRPr="006436D2">
              <w:rPr>
                <w:rFonts w:hint="eastAsia"/>
                <w:color w:val="000000"/>
                <w:kern w:val="0"/>
                <w:szCs w:val="21"/>
              </w:rPr>
              <w:t>本次治疗前</w:t>
            </w:r>
            <w:r w:rsidR="006436D2" w:rsidRPr="006436D2">
              <w:rPr>
                <w:rFonts w:hint="eastAsia"/>
                <w:color w:val="000000"/>
                <w:kern w:val="0"/>
                <w:szCs w:val="21"/>
              </w:rPr>
              <w:t>1</w:t>
            </w:r>
            <w:r w:rsidR="006436D2" w:rsidRPr="006436D2">
              <w:rPr>
                <w:rFonts w:hint="eastAsia"/>
                <w:color w:val="000000"/>
                <w:kern w:val="0"/>
                <w:szCs w:val="21"/>
              </w:rPr>
              <w:t>个月内及导入期内使用治疗乳腺增生病的中、西药物者（包含外敷药、针灸等），且半年内已使用激素类药物（长期口服避孕药物者除外）；</w:t>
            </w:r>
          </w:p>
        </w:tc>
        <w:tc>
          <w:tcPr>
            <w:tcW w:w="1829" w:type="pct"/>
            <w:tcBorders>
              <w:top w:val="single" w:sz="4" w:space="0" w:color="000000"/>
              <w:left w:val="single" w:sz="4" w:space="0" w:color="000000"/>
              <w:bottom w:val="single" w:sz="4" w:space="0" w:color="000000"/>
              <w:right w:val="single" w:sz="4" w:space="0" w:color="000000"/>
            </w:tcBorders>
            <w:vAlign w:val="center"/>
          </w:tcPr>
          <w:p w14:paraId="72735879" w14:textId="77777777" w:rsidR="005B240B" w:rsidRPr="00C45D92" w:rsidRDefault="001A093B" w:rsidP="006436D2">
            <w:pPr>
              <w:rPr>
                <w:szCs w:val="21"/>
              </w:rPr>
            </w:pPr>
            <w:r w:rsidRPr="001A093B">
              <w:rPr>
                <w:rFonts w:hint="eastAsia"/>
                <w:b/>
                <w:color w:val="000000"/>
                <w:kern w:val="0"/>
                <w:szCs w:val="21"/>
              </w:rPr>
              <w:t>摘要</w:t>
            </w:r>
            <w:r w:rsidRPr="001A093B">
              <w:rPr>
                <w:rFonts w:hint="eastAsia"/>
                <w:b/>
                <w:color w:val="000000"/>
                <w:kern w:val="0"/>
                <w:szCs w:val="21"/>
              </w:rPr>
              <w:t>-</w:t>
            </w:r>
            <w:r w:rsidR="006436D2" w:rsidRPr="001A093B">
              <w:rPr>
                <w:rFonts w:hint="eastAsia"/>
                <w:b/>
                <w:color w:val="000000"/>
                <w:kern w:val="0"/>
                <w:szCs w:val="21"/>
              </w:rPr>
              <w:t>排除</w:t>
            </w:r>
            <w:r w:rsidR="006436D2" w:rsidRPr="001A093B">
              <w:rPr>
                <w:b/>
                <w:color w:val="000000"/>
                <w:kern w:val="0"/>
                <w:szCs w:val="21"/>
              </w:rPr>
              <w:t>标准</w:t>
            </w:r>
            <w:r w:rsidR="006436D2" w:rsidRPr="001A093B">
              <w:rPr>
                <w:rFonts w:hint="eastAsia"/>
                <w:b/>
                <w:color w:val="000000"/>
                <w:kern w:val="0"/>
                <w:szCs w:val="21"/>
              </w:rPr>
              <w:t>8</w:t>
            </w:r>
            <w:r w:rsidR="006436D2" w:rsidRPr="001A093B">
              <w:rPr>
                <w:rFonts w:hint="eastAsia"/>
                <w:b/>
                <w:color w:val="000000"/>
                <w:kern w:val="0"/>
                <w:szCs w:val="21"/>
              </w:rPr>
              <w:t>：</w:t>
            </w:r>
            <w:r w:rsidR="006436D2" w:rsidRPr="006436D2">
              <w:rPr>
                <w:color w:val="000000"/>
                <w:kern w:val="0"/>
                <w:szCs w:val="21"/>
              </w:rPr>
              <w:t>本次治疗前</w:t>
            </w:r>
            <w:r w:rsidR="006436D2" w:rsidRPr="006436D2">
              <w:rPr>
                <w:color w:val="000000"/>
                <w:kern w:val="0"/>
                <w:szCs w:val="21"/>
              </w:rPr>
              <w:t>1</w:t>
            </w:r>
            <w:r w:rsidR="006436D2" w:rsidRPr="006436D2">
              <w:rPr>
                <w:color w:val="000000"/>
                <w:kern w:val="0"/>
                <w:szCs w:val="21"/>
              </w:rPr>
              <w:t>个月内及导入期内使用治疗乳腺增生病的中、西药物者（包含外敷药、针灸等），</w:t>
            </w:r>
            <w:r w:rsidR="006436D2" w:rsidRPr="001A1B02">
              <w:rPr>
                <w:rFonts w:hint="eastAsia"/>
                <w:color w:val="000000"/>
                <w:kern w:val="0"/>
                <w:szCs w:val="21"/>
                <w:highlight w:val="yellow"/>
              </w:rPr>
              <w:t>或</w:t>
            </w:r>
            <w:r w:rsidR="006436D2" w:rsidRPr="006436D2">
              <w:rPr>
                <w:color w:val="000000"/>
                <w:kern w:val="0"/>
                <w:szCs w:val="21"/>
              </w:rPr>
              <w:t>半年内</w:t>
            </w:r>
            <w:r w:rsidR="006436D2" w:rsidRPr="001A1B02">
              <w:rPr>
                <w:rFonts w:hint="eastAsia"/>
                <w:color w:val="000000"/>
                <w:kern w:val="0"/>
                <w:szCs w:val="21"/>
                <w:highlight w:val="yellow"/>
              </w:rPr>
              <w:t>已</w:t>
            </w:r>
            <w:r w:rsidR="006436D2" w:rsidRPr="001A1B02">
              <w:rPr>
                <w:color w:val="000000"/>
                <w:kern w:val="0"/>
                <w:szCs w:val="21"/>
                <w:highlight w:val="yellow"/>
              </w:rPr>
              <w:t>使用</w:t>
            </w:r>
            <w:r w:rsidR="006436D2" w:rsidRPr="001A1B02">
              <w:rPr>
                <w:rFonts w:hint="eastAsia"/>
                <w:color w:val="000000"/>
                <w:kern w:val="0"/>
                <w:szCs w:val="21"/>
                <w:highlight w:val="yellow"/>
              </w:rPr>
              <w:t>治疗</w:t>
            </w:r>
            <w:r w:rsidR="006436D2" w:rsidRPr="001A1B02">
              <w:rPr>
                <w:color w:val="000000"/>
                <w:kern w:val="0"/>
                <w:szCs w:val="21"/>
                <w:highlight w:val="yellow"/>
              </w:rPr>
              <w:t>乳腺增生病的</w:t>
            </w:r>
            <w:r w:rsidR="006436D2" w:rsidRPr="006436D2">
              <w:rPr>
                <w:color w:val="000000"/>
                <w:kern w:val="0"/>
                <w:szCs w:val="21"/>
              </w:rPr>
              <w:t>激素类药物（长期口服避孕药物者除外）</w:t>
            </w:r>
            <w:r w:rsidR="006436D2" w:rsidRPr="00874667">
              <w:rPr>
                <w:color w:val="000000"/>
                <w:kern w:val="0"/>
                <w:sz w:val="24"/>
              </w:rPr>
              <w:t>；</w:t>
            </w:r>
          </w:p>
        </w:tc>
        <w:tc>
          <w:tcPr>
            <w:tcW w:w="1038" w:type="pct"/>
            <w:tcBorders>
              <w:top w:val="single" w:sz="4" w:space="0" w:color="000000"/>
              <w:left w:val="single" w:sz="4" w:space="0" w:color="000000"/>
              <w:bottom w:val="single" w:sz="4" w:space="0" w:color="000000"/>
              <w:right w:val="single" w:sz="4" w:space="0" w:color="000000"/>
            </w:tcBorders>
            <w:vAlign w:val="center"/>
          </w:tcPr>
          <w:p w14:paraId="4E1601CF" w14:textId="77777777" w:rsidR="005B240B" w:rsidRPr="00C45D92" w:rsidRDefault="006436D2" w:rsidP="00672DBC">
            <w:pPr>
              <w:rPr>
                <w:szCs w:val="21"/>
              </w:rPr>
            </w:pPr>
            <w:r w:rsidRPr="001A093B">
              <w:rPr>
                <w:rFonts w:hint="eastAsia"/>
                <w:color w:val="000000"/>
                <w:kern w:val="0"/>
                <w:szCs w:val="21"/>
              </w:rPr>
              <w:t>排除</w:t>
            </w:r>
            <w:r w:rsidRPr="001A093B">
              <w:rPr>
                <w:color w:val="000000"/>
                <w:kern w:val="0"/>
                <w:szCs w:val="21"/>
              </w:rPr>
              <w:t>标准</w:t>
            </w:r>
            <w:r w:rsidRPr="001A093B">
              <w:rPr>
                <w:rFonts w:hint="eastAsia"/>
                <w:color w:val="000000"/>
                <w:kern w:val="0"/>
                <w:szCs w:val="21"/>
              </w:rPr>
              <w:t>8</w:t>
            </w:r>
            <w:r w:rsidRPr="001A093B">
              <w:rPr>
                <w:rFonts w:hint="eastAsia"/>
                <w:color w:val="000000"/>
                <w:kern w:val="0"/>
                <w:szCs w:val="21"/>
              </w:rPr>
              <w:t>存在</w:t>
            </w:r>
            <w:r w:rsidRPr="001A093B">
              <w:rPr>
                <w:color w:val="000000"/>
                <w:kern w:val="0"/>
                <w:szCs w:val="21"/>
              </w:rPr>
              <w:t>理解歧义，</w:t>
            </w:r>
            <w:r w:rsidRPr="001A093B">
              <w:rPr>
                <w:rFonts w:hint="eastAsia"/>
                <w:color w:val="000000"/>
                <w:kern w:val="0"/>
                <w:szCs w:val="21"/>
              </w:rPr>
              <w:t>进行</w:t>
            </w:r>
            <w:r w:rsidRPr="001A093B">
              <w:rPr>
                <w:color w:val="000000"/>
                <w:kern w:val="0"/>
                <w:szCs w:val="21"/>
              </w:rPr>
              <w:t>修改。</w:t>
            </w:r>
            <w:r w:rsidR="001A093B" w:rsidRPr="001A093B">
              <w:rPr>
                <w:rFonts w:hint="eastAsia"/>
                <w:color w:val="000000"/>
                <w:kern w:val="0"/>
                <w:szCs w:val="21"/>
              </w:rPr>
              <w:t>将“且半年内已使用激素类药物”改为“或半年内已使用治疗乳腺增生病的激素类药物”。</w:t>
            </w:r>
          </w:p>
        </w:tc>
      </w:tr>
      <w:tr w:rsidR="005C7E52" w14:paraId="43BBBF97" w14:textId="77777777" w:rsidTr="00E36BA0">
        <w:trPr>
          <w:trHeight w:val="20"/>
        </w:trPr>
        <w:tc>
          <w:tcPr>
            <w:tcW w:w="412" w:type="pct"/>
            <w:tcBorders>
              <w:top w:val="single" w:sz="4" w:space="0" w:color="000000"/>
              <w:left w:val="single" w:sz="4" w:space="0" w:color="000000"/>
              <w:bottom w:val="single" w:sz="4" w:space="0" w:color="000000"/>
              <w:right w:val="single" w:sz="4" w:space="0" w:color="000000"/>
            </w:tcBorders>
            <w:vAlign w:val="center"/>
          </w:tcPr>
          <w:p w14:paraId="3BEE2BF3" w14:textId="1FFBB04E" w:rsidR="005C7E52" w:rsidRPr="00C45D92" w:rsidRDefault="00A104AA" w:rsidP="00672DBC">
            <w:pPr>
              <w:rPr>
                <w:b/>
                <w:szCs w:val="21"/>
              </w:rPr>
            </w:pPr>
            <w:r w:rsidRPr="00C45D92">
              <w:rPr>
                <w:b/>
                <w:szCs w:val="21"/>
              </w:rPr>
              <w:lastRenderedPageBreak/>
              <w:t>3</w:t>
            </w:r>
          </w:p>
        </w:tc>
        <w:tc>
          <w:tcPr>
            <w:tcW w:w="1721" w:type="pct"/>
            <w:tcBorders>
              <w:top w:val="single" w:sz="4" w:space="0" w:color="000000"/>
              <w:left w:val="single" w:sz="4" w:space="0" w:color="000000"/>
              <w:bottom w:val="single" w:sz="4" w:space="0" w:color="000000"/>
              <w:right w:val="single" w:sz="4" w:space="0" w:color="000000"/>
            </w:tcBorders>
            <w:vAlign w:val="center"/>
          </w:tcPr>
          <w:p w14:paraId="64A18383" w14:textId="46ACEC62" w:rsidR="005C7E52" w:rsidRPr="00A104AA" w:rsidRDefault="005C7E52" w:rsidP="00A104AA">
            <w:pPr>
              <w:adjustRightInd w:val="0"/>
              <w:snapToGrid w:val="0"/>
              <w:spacing w:beforeLines="50" w:before="156" w:afterLines="50" w:after="156" w:line="312" w:lineRule="auto"/>
              <w:rPr>
                <w:b/>
                <w:szCs w:val="21"/>
              </w:rPr>
            </w:pPr>
            <w:r w:rsidRPr="001D3583">
              <w:rPr>
                <w:b/>
                <w:szCs w:val="21"/>
              </w:rPr>
              <w:t xml:space="preserve">4.5.3 </w:t>
            </w:r>
            <w:r w:rsidRPr="001D3583">
              <w:rPr>
                <w:b/>
                <w:szCs w:val="21"/>
              </w:rPr>
              <w:t>揭盲</w:t>
            </w:r>
          </w:p>
          <w:p w14:paraId="3B18D302" w14:textId="4BF6899E" w:rsidR="005C7E52" w:rsidRPr="00A104AA" w:rsidRDefault="005C7E52" w:rsidP="00A104AA">
            <w:pPr>
              <w:adjustRightInd w:val="0"/>
              <w:snapToGrid w:val="0"/>
              <w:spacing w:line="312" w:lineRule="auto"/>
              <w:ind w:firstLineChars="200" w:firstLine="420"/>
              <w:rPr>
                <w:b/>
                <w:color w:val="000000"/>
                <w:kern w:val="0"/>
                <w:szCs w:val="21"/>
              </w:rPr>
            </w:pPr>
            <w:r w:rsidRPr="00A104AA">
              <w:rPr>
                <w:rFonts w:hint="eastAsia"/>
                <w:szCs w:val="21"/>
              </w:rPr>
              <w:t>本研究采用二次</w:t>
            </w:r>
            <w:proofErr w:type="gramStart"/>
            <w:r w:rsidRPr="00A104AA">
              <w:rPr>
                <w:rFonts w:hint="eastAsia"/>
                <w:szCs w:val="21"/>
              </w:rPr>
              <w:t>揭盲法</w:t>
            </w:r>
            <w:proofErr w:type="gramEnd"/>
            <w:r w:rsidRPr="00A104AA">
              <w:rPr>
                <w:rFonts w:hint="eastAsia"/>
                <w:szCs w:val="21"/>
              </w:rPr>
              <w:t>。</w:t>
            </w:r>
            <w:proofErr w:type="gramStart"/>
            <w:r w:rsidRPr="00A104AA">
              <w:rPr>
                <w:rFonts w:hint="eastAsia"/>
                <w:szCs w:val="21"/>
              </w:rPr>
              <w:t>一级揭盲于</w:t>
            </w:r>
            <w:proofErr w:type="gramEnd"/>
            <w:r w:rsidRPr="00A104AA">
              <w:rPr>
                <w:rFonts w:hint="eastAsia"/>
                <w:szCs w:val="21"/>
              </w:rPr>
              <w:t>统计计划书、数据审核报告定稿并数据库锁定后进行，揭晓受试者所对应的组别代码，以便对全部数据进行分组后的统计分析。统计分析完成后进行二级揭盲，揭晓组别代码对应的药物。二级</w:t>
            </w:r>
            <w:proofErr w:type="gramStart"/>
            <w:r w:rsidRPr="00A104AA">
              <w:rPr>
                <w:rFonts w:hint="eastAsia"/>
                <w:szCs w:val="21"/>
              </w:rPr>
              <w:t>揭盲前</w:t>
            </w:r>
            <w:proofErr w:type="gramEnd"/>
            <w:r w:rsidRPr="00A104AA">
              <w:rPr>
                <w:rFonts w:hint="eastAsia"/>
                <w:szCs w:val="21"/>
              </w:rPr>
              <w:t>，应核对、确保</w:t>
            </w:r>
            <w:proofErr w:type="gramStart"/>
            <w:r w:rsidRPr="00A104AA">
              <w:rPr>
                <w:rFonts w:hint="eastAsia"/>
                <w:szCs w:val="21"/>
              </w:rPr>
              <w:t>两份盲底保存</w:t>
            </w:r>
            <w:proofErr w:type="gramEnd"/>
            <w:r w:rsidRPr="00A104AA">
              <w:rPr>
                <w:rFonts w:hint="eastAsia"/>
                <w:szCs w:val="21"/>
              </w:rPr>
              <w:t>完好，揭盲文件由主要研究者、申办者、统计人员共同签署。</w:t>
            </w:r>
          </w:p>
        </w:tc>
        <w:tc>
          <w:tcPr>
            <w:tcW w:w="1829" w:type="pct"/>
            <w:tcBorders>
              <w:top w:val="single" w:sz="4" w:space="0" w:color="000000"/>
              <w:left w:val="single" w:sz="4" w:space="0" w:color="000000"/>
              <w:bottom w:val="single" w:sz="4" w:space="0" w:color="000000"/>
              <w:right w:val="single" w:sz="4" w:space="0" w:color="000000"/>
            </w:tcBorders>
          </w:tcPr>
          <w:p w14:paraId="2B42B4CD" w14:textId="77777777" w:rsidR="005C7E52" w:rsidRPr="00A104AA" w:rsidRDefault="005C7E52" w:rsidP="00A104AA">
            <w:pPr>
              <w:adjustRightInd w:val="0"/>
              <w:snapToGrid w:val="0"/>
              <w:spacing w:beforeLines="50" w:before="156" w:afterLines="50" w:after="156" w:line="312" w:lineRule="auto"/>
              <w:rPr>
                <w:b/>
                <w:szCs w:val="21"/>
              </w:rPr>
            </w:pPr>
            <w:r w:rsidRPr="00A104AA">
              <w:rPr>
                <w:b/>
                <w:szCs w:val="21"/>
              </w:rPr>
              <w:t xml:space="preserve">4.5.3 </w:t>
            </w:r>
            <w:r w:rsidRPr="00A104AA">
              <w:rPr>
                <w:b/>
                <w:szCs w:val="21"/>
              </w:rPr>
              <w:t>揭盲</w:t>
            </w:r>
          </w:p>
          <w:p w14:paraId="4263C360" w14:textId="10D843A5" w:rsidR="005C7E52" w:rsidRPr="00A104AA" w:rsidRDefault="005C7E52" w:rsidP="00A104AA">
            <w:pPr>
              <w:adjustRightInd w:val="0"/>
              <w:snapToGrid w:val="0"/>
              <w:spacing w:line="312" w:lineRule="auto"/>
              <w:ind w:firstLineChars="200" w:firstLine="420"/>
              <w:rPr>
                <w:szCs w:val="21"/>
              </w:rPr>
            </w:pPr>
            <w:r w:rsidRPr="00A104AA">
              <w:rPr>
                <w:rFonts w:hint="eastAsia"/>
                <w:szCs w:val="21"/>
              </w:rPr>
              <w:t>本</w:t>
            </w:r>
            <w:proofErr w:type="gramStart"/>
            <w:r w:rsidRPr="00A104AA">
              <w:rPr>
                <w:rFonts w:hint="eastAsia"/>
                <w:szCs w:val="21"/>
              </w:rPr>
              <w:t>研究揭盲于</w:t>
            </w:r>
            <w:proofErr w:type="gramEnd"/>
            <w:r w:rsidRPr="00A104AA">
              <w:rPr>
                <w:rFonts w:hint="eastAsia"/>
                <w:szCs w:val="21"/>
              </w:rPr>
              <w:t>统计分析计划书、数据审核报告定稿并数据库锁定后进行，揭晓随机号所对应的治疗组别，以便对全部数据进行分组后的统计分析。</w:t>
            </w:r>
            <w:proofErr w:type="gramStart"/>
            <w:r w:rsidRPr="00A104AA">
              <w:rPr>
                <w:rFonts w:hint="eastAsia"/>
                <w:szCs w:val="21"/>
              </w:rPr>
              <w:t>揭</w:t>
            </w:r>
            <w:proofErr w:type="gramEnd"/>
            <w:r w:rsidRPr="00A104AA">
              <w:rPr>
                <w:rFonts w:hint="eastAsia"/>
                <w:szCs w:val="21"/>
              </w:rPr>
              <w:t>盲文件由主要研究者、申办方、统计人员共同签署</w:t>
            </w:r>
            <w:r w:rsidRPr="00A104AA">
              <w:rPr>
                <w:szCs w:val="21"/>
              </w:rPr>
              <w:t>。</w:t>
            </w:r>
          </w:p>
        </w:tc>
        <w:tc>
          <w:tcPr>
            <w:tcW w:w="1038" w:type="pct"/>
            <w:tcBorders>
              <w:top w:val="single" w:sz="4" w:space="0" w:color="000000"/>
              <w:left w:val="single" w:sz="4" w:space="0" w:color="000000"/>
              <w:bottom w:val="single" w:sz="4" w:space="0" w:color="000000"/>
              <w:right w:val="single" w:sz="4" w:space="0" w:color="000000"/>
            </w:tcBorders>
            <w:vAlign w:val="center"/>
          </w:tcPr>
          <w:p w14:paraId="76C72C3D" w14:textId="77777777" w:rsidR="005C7E52" w:rsidRDefault="005C7E52">
            <w:pPr>
              <w:rPr>
                <w:color w:val="000000"/>
                <w:kern w:val="0"/>
                <w:szCs w:val="21"/>
              </w:rPr>
            </w:pPr>
            <w:proofErr w:type="gramStart"/>
            <w:r>
              <w:rPr>
                <w:rFonts w:hint="eastAsia"/>
                <w:color w:val="000000"/>
                <w:kern w:val="0"/>
                <w:szCs w:val="21"/>
              </w:rPr>
              <w:t>更新</w:t>
            </w:r>
            <w:r>
              <w:rPr>
                <w:color w:val="000000"/>
                <w:kern w:val="0"/>
                <w:szCs w:val="21"/>
              </w:rPr>
              <w:t>揭盲</w:t>
            </w:r>
            <w:r>
              <w:rPr>
                <w:rFonts w:hint="eastAsia"/>
                <w:color w:val="000000"/>
                <w:kern w:val="0"/>
                <w:szCs w:val="21"/>
              </w:rPr>
              <w:t>方法</w:t>
            </w:r>
            <w:proofErr w:type="gramEnd"/>
            <w:r>
              <w:rPr>
                <w:color w:val="000000"/>
                <w:kern w:val="0"/>
                <w:szCs w:val="21"/>
              </w:rPr>
              <w:t>。</w:t>
            </w:r>
          </w:p>
          <w:p w14:paraId="084B16F1" w14:textId="07DF5408" w:rsidR="005C7E52" w:rsidRPr="001A093B" w:rsidRDefault="005C7E52" w:rsidP="00E36BA0">
            <w:pPr>
              <w:rPr>
                <w:color w:val="000000"/>
                <w:kern w:val="0"/>
                <w:szCs w:val="21"/>
              </w:rPr>
            </w:pPr>
            <w:r>
              <w:rPr>
                <w:rFonts w:hint="eastAsia"/>
                <w:color w:val="000000"/>
                <w:kern w:val="0"/>
                <w:szCs w:val="21"/>
              </w:rPr>
              <w:t>既往</w:t>
            </w:r>
            <w:r>
              <w:rPr>
                <w:color w:val="000000"/>
                <w:kern w:val="0"/>
                <w:szCs w:val="21"/>
              </w:rPr>
              <w:t>国内多采用</w:t>
            </w:r>
            <w:r>
              <w:rPr>
                <w:rFonts w:hint="eastAsia"/>
                <w:color w:val="000000"/>
                <w:kern w:val="0"/>
                <w:szCs w:val="21"/>
              </w:rPr>
              <w:t>“</w:t>
            </w:r>
            <w:r>
              <w:rPr>
                <w:color w:val="000000"/>
                <w:kern w:val="0"/>
                <w:szCs w:val="21"/>
              </w:rPr>
              <w:t>二级揭盲</w:t>
            </w:r>
            <w:r>
              <w:rPr>
                <w:rFonts w:hint="eastAsia"/>
                <w:color w:val="000000"/>
                <w:kern w:val="0"/>
                <w:szCs w:val="21"/>
              </w:rPr>
              <w:t>”</w:t>
            </w:r>
            <w:r w:rsidR="00E36BA0">
              <w:rPr>
                <w:rFonts w:hint="eastAsia"/>
                <w:color w:val="000000"/>
                <w:kern w:val="0"/>
                <w:szCs w:val="21"/>
              </w:rPr>
              <w:t>，</w:t>
            </w:r>
            <w:r>
              <w:rPr>
                <w:rFonts w:hint="eastAsia"/>
                <w:color w:val="000000"/>
                <w:kern w:val="0"/>
                <w:szCs w:val="21"/>
              </w:rPr>
              <w:t>现与</w:t>
            </w:r>
            <w:r>
              <w:rPr>
                <w:color w:val="000000"/>
                <w:kern w:val="0"/>
                <w:szCs w:val="21"/>
              </w:rPr>
              <w:t>国际</w:t>
            </w:r>
            <w:r>
              <w:rPr>
                <w:rFonts w:hint="eastAsia"/>
                <w:color w:val="000000"/>
                <w:kern w:val="0"/>
                <w:szCs w:val="21"/>
              </w:rPr>
              <w:t>接轨</w:t>
            </w:r>
            <w:r>
              <w:rPr>
                <w:color w:val="000000"/>
                <w:kern w:val="0"/>
                <w:szCs w:val="21"/>
              </w:rPr>
              <w:t>，</w:t>
            </w:r>
            <w:r>
              <w:rPr>
                <w:rFonts w:hint="eastAsia"/>
                <w:color w:val="000000"/>
                <w:kern w:val="0"/>
                <w:szCs w:val="21"/>
              </w:rPr>
              <w:t>改为</w:t>
            </w:r>
            <w:r w:rsidRPr="00A104AA">
              <w:rPr>
                <w:rFonts w:asciiTheme="minorEastAsia" w:eastAsiaTheme="minorEastAsia" w:hAnsiTheme="minorEastAsia"/>
                <w:color w:val="000000"/>
                <w:kern w:val="0"/>
                <w:szCs w:val="21"/>
              </w:rPr>
              <w:t>“</w:t>
            </w:r>
            <w:r w:rsidR="0093192D">
              <w:rPr>
                <w:rFonts w:asciiTheme="minorEastAsia" w:eastAsiaTheme="minorEastAsia" w:hAnsiTheme="minorEastAsia" w:hint="eastAsia"/>
                <w:color w:val="000000"/>
                <w:kern w:val="0"/>
                <w:szCs w:val="21"/>
              </w:rPr>
              <w:t>一次</w:t>
            </w:r>
            <w:r w:rsidRPr="00A104AA">
              <w:rPr>
                <w:rFonts w:asciiTheme="minorEastAsia" w:eastAsiaTheme="minorEastAsia" w:hAnsiTheme="minorEastAsia"/>
                <w:color w:val="000000"/>
                <w:kern w:val="0"/>
                <w:szCs w:val="21"/>
              </w:rPr>
              <w:t>揭盲”</w:t>
            </w:r>
            <w:r>
              <w:rPr>
                <w:rFonts w:hint="eastAsia"/>
                <w:color w:val="000000"/>
                <w:kern w:val="0"/>
                <w:szCs w:val="21"/>
              </w:rPr>
              <w:t>方法</w:t>
            </w:r>
            <w:r>
              <w:rPr>
                <w:color w:val="000000"/>
                <w:kern w:val="0"/>
                <w:szCs w:val="21"/>
              </w:rPr>
              <w:t>。</w:t>
            </w:r>
          </w:p>
        </w:tc>
      </w:tr>
      <w:tr w:rsidR="005B240B" w14:paraId="53FE79DD" w14:textId="77777777" w:rsidTr="00672DBC">
        <w:trPr>
          <w:trHeight w:val="20"/>
        </w:trPr>
        <w:tc>
          <w:tcPr>
            <w:tcW w:w="412" w:type="pct"/>
            <w:tcBorders>
              <w:top w:val="single" w:sz="4" w:space="0" w:color="000000"/>
              <w:left w:val="single" w:sz="4" w:space="0" w:color="000000"/>
              <w:bottom w:val="single" w:sz="4" w:space="0" w:color="000000"/>
              <w:right w:val="single" w:sz="4" w:space="0" w:color="000000"/>
            </w:tcBorders>
            <w:vAlign w:val="center"/>
          </w:tcPr>
          <w:p w14:paraId="48B7AD57" w14:textId="7BEA01D7" w:rsidR="005B240B" w:rsidRPr="00C45D92" w:rsidRDefault="00A104AA" w:rsidP="00672DBC">
            <w:pPr>
              <w:rPr>
                <w:b/>
                <w:szCs w:val="21"/>
              </w:rPr>
            </w:pPr>
            <w:r>
              <w:rPr>
                <w:rFonts w:hint="eastAsia"/>
                <w:b/>
                <w:szCs w:val="21"/>
              </w:rPr>
              <w:t>4</w:t>
            </w:r>
          </w:p>
        </w:tc>
        <w:tc>
          <w:tcPr>
            <w:tcW w:w="1721" w:type="pct"/>
            <w:tcBorders>
              <w:top w:val="single" w:sz="4" w:space="0" w:color="000000"/>
              <w:left w:val="single" w:sz="4" w:space="0" w:color="000000"/>
              <w:bottom w:val="single" w:sz="4" w:space="0" w:color="000000"/>
              <w:right w:val="single" w:sz="4" w:space="0" w:color="000000"/>
            </w:tcBorders>
            <w:vAlign w:val="center"/>
          </w:tcPr>
          <w:p w14:paraId="4981C848" w14:textId="77777777" w:rsidR="005B240B" w:rsidRPr="00C45D92" w:rsidRDefault="006436D2" w:rsidP="00672DBC">
            <w:pPr>
              <w:adjustRightInd w:val="0"/>
              <w:snapToGrid w:val="0"/>
              <w:spacing w:beforeLines="50" w:before="156" w:afterLines="50" w:after="156" w:line="312" w:lineRule="auto"/>
              <w:rPr>
                <w:szCs w:val="21"/>
              </w:rPr>
            </w:pPr>
            <w:r w:rsidRPr="001A093B">
              <w:rPr>
                <w:rFonts w:hint="eastAsia"/>
                <w:b/>
                <w:szCs w:val="21"/>
              </w:rPr>
              <w:t xml:space="preserve">9.1 </w:t>
            </w:r>
            <w:r w:rsidRPr="001A093B">
              <w:rPr>
                <w:rFonts w:hint="eastAsia"/>
                <w:b/>
                <w:szCs w:val="21"/>
              </w:rPr>
              <w:t>不良</w:t>
            </w:r>
            <w:r w:rsidRPr="001A093B">
              <w:rPr>
                <w:b/>
                <w:szCs w:val="21"/>
              </w:rPr>
              <w:t>事件定义：</w:t>
            </w:r>
            <w:r w:rsidRPr="006436D2">
              <w:rPr>
                <w:rFonts w:hint="eastAsia"/>
                <w:szCs w:val="21"/>
              </w:rPr>
              <w:t>不良事件是指自受试者签署知情同意书</w:t>
            </w:r>
            <w:r w:rsidRPr="001A1B02">
              <w:rPr>
                <w:rFonts w:hint="eastAsia"/>
                <w:szCs w:val="21"/>
                <w:highlight w:val="yellow"/>
              </w:rPr>
              <w:t>并随机</w:t>
            </w:r>
            <w:r w:rsidRPr="006436D2">
              <w:rPr>
                <w:rFonts w:hint="eastAsia"/>
                <w:szCs w:val="21"/>
              </w:rPr>
              <w:t>开始</w:t>
            </w:r>
            <w:proofErr w:type="gramStart"/>
            <w:r w:rsidRPr="006436D2">
              <w:rPr>
                <w:rFonts w:hint="eastAsia"/>
                <w:szCs w:val="21"/>
              </w:rPr>
              <w:t>至试验</w:t>
            </w:r>
            <w:proofErr w:type="gramEnd"/>
            <w:r w:rsidRPr="006436D2">
              <w:rPr>
                <w:rFonts w:hint="eastAsia"/>
                <w:szCs w:val="21"/>
              </w:rPr>
              <w:t>结束，发生的任何不良的事件，无论与试验药物是否有因果关系。</w:t>
            </w:r>
          </w:p>
        </w:tc>
        <w:tc>
          <w:tcPr>
            <w:tcW w:w="1829" w:type="pct"/>
            <w:tcBorders>
              <w:top w:val="single" w:sz="4" w:space="0" w:color="000000"/>
              <w:left w:val="single" w:sz="4" w:space="0" w:color="000000"/>
              <w:bottom w:val="single" w:sz="4" w:space="0" w:color="000000"/>
              <w:right w:val="single" w:sz="4" w:space="0" w:color="000000"/>
            </w:tcBorders>
            <w:vAlign w:val="center"/>
          </w:tcPr>
          <w:p w14:paraId="12ED5EA8" w14:textId="77777777" w:rsidR="005B240B" w:rsidRPr="006436D2" w:rsidRDefault="006436D2" w:rsidP="006436D2">
            <w:pPr>
              <w:adjustRightInd w:val="0"/>
              <w:snapToGrid w:val="0"/>
              <w:spacing w:beforeLines="50" w:before="156" w:afterLines="50" w:after="156" w:line="312" w:lineRule="auto"/>
              <w:rPr>
                <w:szCs w:val="21"/>
              </w:rPr>
            </w:pPr>
            <w:r w:rsidRPr="001A093B">
              <w:rPr>
                <w:rFonts w:hint="eastAsia"/>
                <w:b/>
                <w:szCs w:val="21"/>
              </w:rPr>
              <w:t xml:space="preserve">9.1 </w:t>
            </w:r>
            <w:r w:rsidRPr="001A093B">
              <w:rPr>
                <w:rFonts w:hint="eastAsia"/>
                <w:b/>
                <w:szCs w:val="21"/>
              </w:rPr>
              <w:t>不良</w:t>
            </w:r>
            <w:r w:rsidRPr="001A093B">
              <w:rPr>
                <w:b/>
                <w:szCs w:val="21"/>
              </w:rPr>
              <w:t>事件定义</w:t>
            </w:r>
            <w:r>
              <w:rPr>
                <w:szCs w:val="21"/>
              </w:rPr>
              <w:t>：</w:t>
            </w:r>
            <w:r w:rsidRPr="006436D2">
              <w:rPr>
                <w:rFonts w:hint="eastAsia"/>
                <w:szCs w:val="21"/>
              </w:rPr>
              <w:t>不良事件是指自受试者签署知情同意书开始</w:t>
            </w:r>
            <w:proofErr w:type="gramStart"/>
            <w:r w:rsidRPr="006436D2">
              <w:rPr>
                <w:rFonts w:hint="eastAsia"/>
                <w:szCs w:val="21"/>
              </w:rPr>
              <w:t>至试验</w:t>
            </w:r>
            <w:proofErr w:type="gramEnd"/>
            <w:r w:rsidRPr="006436D2">
              <w:rPr>
                <w:rFonts w:hint="eastAsia"/>
                <w:szCs w:val="21"/>
              </w:rPr>
              <w:t>结束，发生的任何不良的事件，无论与试验药物是否有因果关系。</w:t>
            </w:r>
          </w:p>
        </w:tc>
        <w:tc>
          <w:tcPr>
            <w:tcW w:w="1038" w:type="pct"/>
            <w:tcBorders>
              <w:top w:val="single" w:sz="4" w:space="0" w:color="000000"/>
              <w:left w:val="single" w:sz="4" w:space="0" w:color="000000"/>
              <w:bottom w:val="single" w:sz="4" w:space="0" w:color="000000"/>
              <w:right w:val="single" w:sz="4" w:space="0" w:color="000000"/>
            </w:tcBorders>
            <w:vAlign w:val="center"/>
          </w:tcPr>
          <w:p w14:paraId="3755071B" w14:textId="77777777" w:rsidR="005B240B" w:rsidRPr="00C45D92" w:rsidRDefault="006436D2" w:rsidP="006436D2">
            <w:pPr>
              <w:adjustRightInd w:val="0"/>
              <w:snapToGrid w:val="0"/>
              <w:spacing w:beforeLines="50" w:before="156" w:afterLines="50" w:after="156" w:line="312" w:lineRule="auto"/>
              <w:rPr>
                <w:szCs w:val="21"/>
              </w:rPr>
            </w:pPr>
            <w:r w:rsidRPr="006436D2">
              <w:rPr>
                <w:rFonts w:hint="eastAsia"/>
                <w:szCs w:val="21"/>
              </w:rPr>
              <w:t>因受试者签署</w:t>
            </w:r>
            <w:r w:rsidRPr="006436D2">
              <w:rPr>
                <w:szCs w:val="21"/>
              </w:rPr>
              <w:t>知情同意书后</w:t>
            </w:r>
            <w:r w:rsidRPr="006436D2">
              <w:rPr>
                <w:rFonts w:hint="eastAsia"/>
                <w:szCs w:val="21"/>
              </w:rPr>
              <w:t>未</w:t>
            </w:r>
            <w:r w:rsidRPr="006436D2">
              <w:rPr>
                <w:szCs w:val="21"/>
              </w:rPr>
              <w:t>随机，已开始收集不良事件。</w:t>
            </w:r>
            <w:r w:rsidR="001A093B">
              <w:rPr>
                <w:rFonts w:hint="eastAsia"/>
                <w:szCs w:val="21"/>
              </w:rPr>
              <w:t>收集</w:t>
            </w:r>
            <w:r w:rsidR="001A093B">
              <w:rPr>
                <w:szCs w:val="21"/>
              </w:rPr>
              <w:t>不良事件开始时间点</w:t>
            </w:r>
            <w:r w:rsidR="001A093B" w:rsidRPr="006436D2">
              <w:rPr>
                <w:rFonts w:hint="eastAsia"/>
                <w:szCs w:val="21"/>
              </w:rPr>
              <w:t>描述</w:t>
            </w:r>
            <w:r w:rsidR="001A093B" w:rsidRPr="006436D2">
              <w:rPr>
                <w:szCs w:val="21"/>
              </w:rPr>
              <w:t>错误，故</w:t>
            </w:r>
            <w:r w:rsidR="001A093B" w:rsidRPr="006436D2">
              <w:rPr>
                <w:rFonts w:hint="eastAsia"/>
                <w:szCs w:val="21"/>
              </w:rPr>
              <w:t>作</w:t>
            </w:r>
            <w:r w:rsidR="001A093B" w:rsidRPr="006436D2">
              <w:rPr>
                <w:szCs w:val="21"/>
              </w:rPr>
              <w:t>修正</w:t>
            </w:r>
            <w:r w:rsidR="001A093B" w:rsidRPr="006436D2">
              <w:rPr>
                <w:rFonts w:hint="eastAsia"/>
                <w:szCs w:val="21"/>
              </w:rPr>
              <w:t>，删除</w:t>
            </w:r>
            <w:r w:rsidR="001A093B" w:rsidRPr="00A104AA">
              <w:rPr>
                <w:rFonts w:asciiTheme="minorEastAsia" w:eastAsiaTheme="minorEastAsia" w:hAnsiTheme="minorEastAsia"/>
                <w:szCs w:val="21"/>
              </w:rPr>
              <w:t>“</w:t>
            </w:r>
            <w:r w:rsidR="001A093B" w:rsidRPr="00A104AA">
              <w:rPr>
                <w:rFonts w:asciiTheme="minorEastAsia" w:eastAsiaTheme="minorEastAsia" w:hAnsiTheme="minorEastAsia" w:hint="eastAsia"/>
                <w:szCs w:val="21"/>
              </w:rPr>
              <w:t>并</w:t>
            </w:r>
            <w:r w:rsidR="001A093B" w:rsidRPr="00A104AA">
              <w:rPr>
                <w:rFonts w:asciiTheme="minorEastAsia" w:eastAsiaTheme="minorEastAsia" w:hAnsiTheme="minorEastAsia"/>
                <w:szCs w:val="21"/>
              </w:rPr>
              <w:t>随机”</w:t>
            </w:r>
            <w:r w:rsidR="001A093B" w:rsidRPr="006436D2">
              <w:rPr>
                <w:rFonts w:hint="eastAsia"/>
                <w:szCs w:val="21"/>
              </w:rPr>
              <w:t>。</w:t>
            </w:r>
          </w:p>
        </w:tc>
      </w:tr>
      <w:tr w:rsidR="0065572A" w14:paraId="38CC66FE" w14:textId="77777777" w:rsidTr="00672DBC">
        <w:trPr>
          <w:trHeight w:val="20"/>
        </w:trPr>
        <w:tc>
          <w:tcPr>
            <w:tcW w:w="412" w:type="pct"/>
            <w:tcBorders>
              <w:top w:val="single" w:sz="4" w:space="0" w:color="000000"/>
              <w:left w:val="single" w:sz="4" w:space="0" w:color="000000"/>
              <w:bottom w:val="single" w:sz="4" w:space="0" w:color="000000"/>
              <w:right w:val="single" w:sz="4" w:space="0" w:color="000000"/>
            </w:tcBorders>
            <w:vAlign w:val="center"/>
          </w:tcPr>
          <w:p w14:paraId="6495F211" w14:textId="5B559216" w:rsidR="0065572A" w:rsidRDefault="00A104AA" w:rsidP="00672DBC">
            <w:pPr>
              <w:rPr>
                <w:b/>
                <w:szCs w:val="21"/>
              </w:rPr>
            </w:pPr>
            <w:r>
              <w:rPr>
                <w:b/>
                <w:szCs w:val="21"/>
              </w:rPr>
              <w:t>5</w:t>
            </w:r>
          </w:p>
        </w:tc>
        <w:tc>
          <w:tcPr>
            <w:tcW w:w="1721" w:type="pct"/>
            <w:tcBorders>
              <w:top w:val="single" w:sz="4" w:space="0" w:color="000000"/>
              <w:left w:val="single" w:sz="4" w:space="0" w:color="000000"/>
              <w:bottom w:val="single" w:sz="4" w:space="0" w:color="000000"/>
              <w:right w:val="single" w:sz="4" w:space="0" w:color="000000"/>
            </w:tcBorders>
            <w:vAlign w:val="center"/>
          </w:tcPr>
          <w:p w14:paraId="67746DC2" w14:textId="77777777" w:rsidR="0065572A" w:rsidRDefault="0065572A">
            <w:pPr>
              <w:adjustRightInd w:val="0"/>
              <w:snapToGrid w:val="0"/>
              <w:spacing w:beforeLines="50" w:before="156" w:afterLines="50" w:after="156" w:line="312" w:lineRule="auto"/>
              <w:rPr>
                <w:b/>
                <w:szCs w:val="21"/>
              </w:rPr>
            </w:pPr>
            <w:r>
              <w:rPr>
                <w:rFonts w:hint="eastAsia"/>
                <w:b/>
                <w:szCs w:val="21"/>
              </w:rPr>
              <w:t xml:space="preserve">9.8 </w:t>
            </w:r>
            <w:r>
              <w:rPr>
                <w:rFonts w:hint="eastAsia"/>
                <w:b/>
                <w:szCs w:val="21"/>
              </w:rPr>
              <w:t>严重</w:t>
            </w:r>
            <w:r>
              <w:rPr>
                <w:b/>
                <w:szCs w:val="21"/>
              </w:rPr>
              <w:t>不良事件报告的要求</w:t>
            </w:r>
            <w:r>
              <w:rPr>
                <w:rFonts w:hint="eastAsia"/>
                <w:b/>
                <w:szCs w:val="21"/>
              </w:rPr>
              <w:t xml:space="preserve"> </w:t>
            </w:r>
          </w:p>
          <w:p w14:paraId="78A3A7C8" w14:textId="77777777" w:rsidR="0065572A" w:rsidRPr="00093E41" w:rsidRDefault="0065572A" w:rsidP="00093E41">
            <w:pPr>
              <w:adjustRightInd w:val="0"/>
              <w:snapToGrid w:val="0"/>
              <w:spacing w:line="312" w:lineRule="auto"/>
              <w:ind w:firstLineChars="200" w:firstLine="420"/>
              <w:rPr>
                <w:szCs w:val="21"/>
              </w:rPr>
            </w:pPr>
            <w:r w:rsidRPr="00093E41">
              <w:rPr>
                <w:rFonts w:hint="eastAsia"/>
                <w:szCs w:val="21"/>
              </w:rPr>
              <w:t>严重不良事件报告：研究者应在获知严重不良事件后</w:t>
            </w:r>
            <w:r w:rsidRPr="00093E41">
              <w:rPr>
                <w:szCs w:val="21"/>
              </w:rPr>
              <w:t>24</w:t>
            </w:r>
            <w:r w:rsidRPr="00093E41">
              <w:rPr>
                <w:rFonts w:hint="eastAsia"/>
                <w:szCs w:val="21"/>
              </w:rPr>
              <w:t>小时内向申办者报告，随后应及时提供详尽、书面的随访报告。试验方案中规定的、对安全性评价重要的不良事件和实验室异常值，应按照试验方案的要求和时限向申办者报告。</w:t>
            </w:r>
          </w:p>
          <w:p w14:paraId="39688A9C" w14:textId="77777777" w:rsidR="0065572A" w:rsidRPr="00093E41" w:rsidRDefault="0065572A" w:rsidP="00093E41">
            <w:pPr>
              <w:adjustRightInd w:val="0"/>
              <w:snapToGrid w:val="0"/>
              <w:spacing w:line="312" w:lineRule="auto"/>
              <w:ind w:firstLineChars="200" w:firstLine="420"/>
              <w:rPr>
                <w:szCs w:val="21"/>
              </w:rPr>
            </w:pPr>
            <w:r w:rsidRPr="00093E41">
              <w:rPr>
                <w:rFonts w:hint="eastAsia"/>
                <w:szCs w:val="21"/>
              </w:rPr>
              <w:t>可疑非预期严重不良反应报告：研究者应向伦理委员会报告可疑非预期严重不良反应。</w:t>
            </w:r>
          </w:p>
          <w:p w14:paraId="7A9A4C53" w14:textId="77777777" w:rsidR="0065572A" w:rsidRPr="001A093B" w:rsidRDefault="0065572A" w:rsidP="00093E41">
            <w:pPr>
              <w:adjustRightInd w:val="0"/>
              <w:snapToGrid w:val="0"/>
              <w:spacing w:line="312" w:lineRule="auto"/>
              <w:ind w:firstLineChars="200" w:firstLine="420"/>
              <w:rPr>
                <w:b/>
                <w:szCs w:val="21"/>
              </w:rPr>
            </w:pPr>
            <w:r w:rsidRPr="00093E41">
              <w:rPr>
                <w:rFonts w:hint="eastAsia"/>
                <w:szCs w:val="21"/>
              </w:rPr>
              <w:lastRenderedPageBreak/>
              <w:t>申办者应当将可疑非预期严重不良反应快速报告给所有参加临床试验的研究者及临床试验机构、伦理委员会；申办者应当按要求将获知的可疑非预期严重不良反应向药品监督管理部门和卫生行政部门报告，死亡和危及生命情况不得超过首次获知的</w:t>
            </w:r>
            <w:r w:rsidRPr="00093E41">
              <w:rPr>
                <w:szCs w:val="21"/>
              </w:rPr>
              <w:t>7</w:t>
            </w:r>
            <w:r w:rsidRPr="00093E41">
              <w:rPr>
                <w:rFonts w:hint="eastAsia"/>
                <w:szCs w:val="21"/>
              </w:rPr>
              <w:t>日，并在随后的</w:t>
            </w:r>
            <w:r w:rsidRPr="00093E41">
              <w:rPr>
                <w:szCs w:val="21"/>
              </w:rPr>
              <w:t>8</w:t>
            </w:r>
            <w:r w:rsidRPr="00093E41">
              <w:rPr>
                <w:rFonts w:hint="eastAsia"/>
                <w:szCs w:val="21"/>
              </w:rPr>
              <w:t>日内报告完整信息；其他情况不得超过</w:t>
            </w:r>
            <w:r w:rsidRPr="00093E41">
              <w:rPr>
                <w:szCs w:val="21"/>
              </w:rPr>
              <w:t>15</w:t>
            </w:r>
            <w:r w:rsidRPr="00093E41">
              <w:rPr>
                <w:rFonts w:hint="eastAsia"/>
                <w:szCs w:val="21"/>
              </w:rPr>
              <w:t>日。申办者应当定期汇总临床试验安全性信息，评估临床试验风险与收益，通报给所有参加临床试验的研究者及临床试验机构、伦理委员会。定期评估报告至少一年一次，或按伦理委员会要求及时报告。</w:t>
            </w:r>
          </w:p>
        </w:tc>
        <w:tc>
          <w:tcPr>
            <w:tcW w:w="1829" w:type="pct"/>
            <w:tcBorders>
              <w:top w:val="single" w:sz="4" w:space="0" w:color="000000"/>
              <w:left w:val="single" w:sz="4" w:space="0" w:color="000000"/>
              <w:bottom w:val="single" w:sz="4" w:space="0" w:color="000000"/>
              <w:right w:val="single" w:sz="4" w:space="0" w:color="000000"/>
            </w:tcBorders>
            <w:vAlign w:val="center"/>
          </w:tcPr>
          <w:p w14:paraId="0C6EFB33" w14:textId="77777777" w:rsidR="0065572A" w:rsidRDefault="0065572A">
            <w:pPr>
              <w:adjustRightInd w:val="0"/>
              <w:snapToGrid w:val="0"/>
              <w:spacing w:beforeLines="50" w:before="156" w:afterLines="50" w:after="156" w:line="312" w:lineRule="auto"/>
              <w:rPr>
                <w:szCs w:val="21"/>
              </w:rPr>
            </w:pPr>
            <w:r w:rsidRPr="0065572A">
              <w:rPr>
                <w:b/>
                <w:szCs w:val="21"/>
              </w:rPr>
              <w:lastRenderedPageBreak/>
              <w:t xml:space="preserve">9.8 </w:t>
            </w:r>
            <w:r w:rsidRPr="0065572A">
              <w:rPr>
                <w:rFonts w:hint="eastAsia"/>
                <w:b/>
                <w:szCs w:val="21"/>
              </w:rPr>
              <w:t>严重不良事件报告的要求</w:t>
            </w:r>
            <w:r w:rsidRPr="00093E41">
              <w:rPr>
                <w:szCs w:val="21"/>
              </w:rPr>
              <w:t xml:space="preserve"> </w:t>
            </w:r>
          </w:p>
          <w:p w14:paraId="18A78E80" w14:textId="77777777" w:rsidR="0065572A" w:rsidRPr="00565DD1" w:rsidRDefault="0065572A" w:rsidP="00093E41">
            <w:pPr>
              <w:adjustRightInd w:val="0"/>
              <w:snapToGrid w:val="0"/>
              <w:spacing w:line="312" w:lineRule="auto"/>
              <w:ind w:firstLineChars="200" w:firstLine="420"/>
              <w:rPr>
                <w:szCs w:val="21"/>
              </w:rPr>
            </w:pPr>
            <w:r w:rsidRPr="00565DD1">
              <w:rPr>
                <w:rFonts w:hint="eastAsia"/>
                <w:szCs w:val="21"/>
              </w:rPr>
              <w:t>严重不良事件报告：研究者应在获知严重不良事件后</w:t>
            </w:r>
            <w:r w:rsidRPr="00565DD1">
              <w:rPr>
                <w:rFonts w:hint="eastAsia"/>
                <w:szCs w:val="21"/>
              </w:rPr>
              <w:t>24</w:t>
            </w:r>
            <w:r w:rsidRPr="00565DD1">
              <w:rPr>
                <w:rFonts w:hint="eastAsia"/>
                <w:szCs w:val="21"/>
              </w:rPr>
              <w:t>小时内向申办者报告，随后应及时提供详尽、书面的随访报告。试验方案中规定的、对安全性评价重要的不良事件和实验室异常值，应按照试验方案的要求和时限向申办者报告。</w:t>
            </w:r>
          </w:p>
          <w:p w14:paraId="6F12761A" w14:textId="55D423F7" w:rsidR="0065572A" w:rsidRPr="00565DD1" w:rsidRDefault="0065572A" w:rsidP="00093E41">
            <w:pPr>
              <w:adjustRightInd w:val="0"/>
              <w:snapToGrid w:val="0"/>
              <w:spacing w:line="312" w:lineRule="auto"/>
              <w:ind w:firstLineChars="200" w:firstLine="420"/>
              <w:rPr>
                <w:szCs w:val="21"/>
              </w:rPr>
            </w:pPr>
            <w:r w:rsidRPr="00565DD1">
              <w:rPr>
                <w:rFonts w:hint="eastAsia"/>
                <w:szCs w:val="21"/>
              </w:rPr>
              <w:t>可疑</w:t>
            </w:r>
            <w:r w:rsidR="0093192D" w:rsidRPr="00E36BA0">
              <w:rPr>
                <w:rFonts w:hint="eastAsia"/>
                <w:szCs w:val="21"/>
                <w:highlight w:val="yellow"/>
              </w:rPr>
              <w:t>且</w:t>
            </w:r>
            <w:r w:rsidRPr="00565DD1">
              <w:rPr>
                <w:rFonts w:hint="eastAsia"/>
                <w:szCs w:val="21"/>
              </w:rPr>
              <w:t>非预期严重不良反应报告：研究者应向伦理委员会报告可疑</w:t>
            </w:r>
            <w:r w:rsidR="0093192D" w:rsidRPr="00E36BA0">
              <w:rPr>
                <w:rFonts w:hint="eastAsia"/>
                <w:szCs w:val="21"/>
                <w:highlight w:val="yellow"/>
              </w:rPr>
              <w:t>且</w:t>
            </w:r>
            <w:r w:rsidRPr="00565DD1">
              <w:rPr>
                <w:rFonts w:hint="eastAsia"/>
                <w:szCs w:val="21"/>
              </w:rPr>
              <w:t>非预期严重不良反应。</w:t>
            </w:r>
          </w:p>
          <w:p w14:paraId="3249A6BA" w14:textId="3136A7E0" w:rsidR="0065572A" w:rsidRDefault="0065572A" w:rsidP="00093E41">
            <w:pPr>
              <w:adjustRightInd w:val="0"/>
              <w:snapToGrid w:val="0"/>
              <w:spacing w:line="312" w:lineRule="auto"/>
              <w:ind w:firstLine="200"/>
              <w:rPr>
                <w:rFonts w:ascii="宋体" w:hAnsi="宋体"/>
                <w:szCs w:val="21"/>
              </w:rPr>
            </w:pPr>
            <w:r w:rsidRPr="00565DD1">
              <w:rPr>
                <w:rFonts w:hint="eastAsia"/>
                <w:szCs w:val="21"/>
              </w:rPr>
              <w:lastRenderedPageBreak/>
              <w:t>申办者应当将可疑</w:t>
            </w:r>
            <w:r w:rsidR="0093192D" w:rsidRPr="00E36BA0">
              <w:rPr>
                <w:rFonts w:hint="eastAsia"/>
                <w:szCs w:val="21"/>
                <w:highlight w:val="yellow"/>
              </w:rPr>
              <w:t>且</w:t>
            </w:r>
            <w:r w:rsidRPr="00565DD1">
              <w:rPr>
                <w:rFonts w:hint="eastAsia"/>
                <w:szCs w:val="21"/>
              </w:rPr>
              <w:t>非预期严重不良反应快速报告给所有参加临床试验的研究者及临床试验机构、伦理委员会；申办者应当按要求将获知的可疑</w:t>
            </w:r>
            <w:r w:rsidR="0093192D" w:rsidRPr="00E36BA0">
              <w:rPr>
                <w:rFonts w:hint="eastAsia"/>
                <w:szCs w:val="21"/>
                <w:highlight w:val="yellow"/>
              </w:rPr>
              <w:t>且</w:t>
            </w:r>
            <w:r w:rsidRPr="00565DD1">
              <w:rPr>
                <w:rFonts w:hint="eastAsia"/>
                <w:szCs w:val="21"/>
              </w:rPr>
              <w:t>非预期严重不良反应向药品监督管理部门和卫生行政部门报告，死亡和危及生命情况不得超过首次获知的</w:t>
            </w:r>
            <w:r w:rsidRPr="00565DD1">
              <w:rPr>
                <w:rFonts w:hint="eastAsia"/>
                <w:szCs w:val="21"/>
              </w:rPr>
              <w:t>7</w:t>
            </w:r>
            <w:r w:rsidRPr="00565DD1">
              <w:rPr>
                <w:rFonts w:hint="eastAsia"/>
                <w:szCs w:val="21"/>
              </w:rPr>
              <w:t>日，并在随后的</w:t>
            </w:r>
            <w:r w:rsidRPr="00565DD1">
              <w:rPr>
                <w:rFonts w:hint="eastAsia"/>
                <w:szCs w:val="21"/>
              </w:rPr>
              <w:t>8</w:t>
            </w:r>
            <w:r w:rsidRPr="00565DD1">
              <w:rPr>
                <w:rFonts w:hint="eastAsia"/>
                <w:szCs w:val="21"/>
              </w:rPr>
              <w:t>日内报告完整信息；其他情况不得超过</w:t>
            </w:r>
            <w:r w:rsidRPr="00565DD1">
              <w:rPr>
                <w:rFonts w:hint="eastAsia"/>
                <w:szCs w:val="21"/>
              </w:rPr>
              <w:t>15</w:t>
            </w:r>
            <w:r w:rsidRPr="00565DD1">
              <w:rPr>
                <w:rFonts w:hint="eastAsia"/>
                <w:szCs w:val="21"/>
              </w:rPr>
              <w:t>日。申办者应当定期汇总临床试验安全性信息，评估临床试验风险与收益，通报给所有参加临床试验的研究者及临床试验机构、伦理委员会。定期评估报告至少一年一次，或按伦理委员会要求及时报告。</w:t>
            </w:r>
            <w:r w:rsidRPr="0065572A">
              <w:rPr>
                <w:rFonts w:ascii="宋体" w:hAnsi="宋体"/>
                <w:szCs w:val="21"/>
              </w:rPr>
              <w:t xml:space="preserve"> </w:t>
            </w:r>
          </w:p>
          <w:p w14:paraId="4E8DFAF8" w14:textId="77777777" w:rsidR="0065572A" w:rsidRPr="00093E41" w:rsidRDefault="0065572A" w:rsidP="00622108">
            <w:pPr>
              <w:adjustRightInd w:val="0"/>
              <w:snapToGrid w:val="0"/>
              <w:spacing w:line="312" w:lineRule="auto"/>
              <w:ind w:firstLine="200"/>
              <w:rPr>
                <w:rFonts w:ascii="宋体" w:hAnsi="宋体"/>
                <w:szCs w:val="21"/>
              </w:rPr>
            </w:pPr>
            <w:r w:rsidRPr="00093E41">
              <w:rPr>
                <w:rFonts w:hint="eastAsia"/>
                <w:szCs w:val="21"/>
                <w:highlight w:val="yellow"/>
              </w:rPr>
              <w:t>自</w:t>
            </w:r>
            <w:r w:rsidRPr="00093E41">
              <w:rPr>
                <w:szCs w:val="21"/>
                <w:highlight w:val="yellow"/>
              </w:rPr>
              <w:t>2020</w:t>
            </w:r>
            <w:r w:rsidRPr="00093E41">
              <w:rPr>
                <w:rFonts w:hint="eastAsia"/>
                <w:szCs w:val="21"/>
                <w:highlight w:val="yellow"/>
              </w:rPr>
              <w:t>年</w:t>
            </w:r>
            <w:r w:rsidRPr="00093E41">
              <w:rPr>
                <w:szCs w:val="21"/>
                <w:highlight w:val="yellow"/>
              </w:rPr>
              <w:t>07</w:t>
            </w:r>
            <w:r w:rsidRPr="00093E41">
              <w:rPr>
                <w:rFonts w:hint="eastAsia"/>
                <w:szCs w:val="21"/>
                <w:highlight w:val="yellow"/>
              </w:rPr>
              <w:t>月</w:t>
            </w:r>
            <w:r w:rsidRPr="00093E41">
              <w:rPr>
                <w:szCs w:val="21"/>
                <w:highlight w:val="yellow"/>
              </w:rPr>
              <w:t>01</w:t>
            </w:r>
            <w:r w:rsidRPr="00093E41">
              <w:rPr>
                <w:rFonts w:hint="eastAsia"/>
                <w:szCs w:val="21"/>
                <w:highlight w:val="yellow"/>
              </w:rPr>
              <w:t>日</w:t>
            </w:r>
            <w:r w:rsidR="008E7DE8">
              <w:rPr>
                <w:rFonts w:hint="eastAsia"/>
                <w:szCs w:val="21"/>
                <w:highlight w:val="yellow"/>
              </w:rPr>
              <w:t>起</w:t>
            </w:r>
            <w:r w:rsidRPr="00093E41">
              <w:rPr>
                <w:rFonts w:hint="eastAsia"/>
                <w:szCs w:val="21"/>
                <w:highlight w:val="yellow"/>
              </w:rPr>
              <w:t>，严重不良事件报告按照</w:t>
            </w:r>
            <w:r w:rsidR="00622108">
              <w:rPr>
                <w:rFonts w:hint="eastAsia"/>
                <w:szCs w:val="21"/>
                <w:highlight w:val="yellow"/>
              </w:rPr>
              <w:t>2</w:t>
            </w:r>
            <w:r w:rsidR="00622108">
              <w:rPr>
                <w:szCs w:val="21"/>
                <w:highlight w:val="yellow"/>
              </w:rPr>
              <w:t>020</w:t>
            </w:r>
            <w:r w:rsidR="00622108">
              <w:rPr>
                <w:rFonts w:hint="eastAsia"/>
                <w:szCs w:val="21"/>
                <w:highlight w:val="yellow"/>
              </w:rPr>
              <w:t>年</w:t>
            </w:r>
            <w:r w:rsidR="00622108" w:rsidRPr="00093E41">
              <w:rPr>
                <w:rFonts w:hint="eastAsia"/>
                <w:szCs w:val="21"/>
                <w:highlight w:val="yellow"/>
              </w:rPr>
              <w:t>版</w:t>
            </w:r>
            <w:r w:rsidRPr="00093E41">
              <w:rPr>
                <w:szCs w:val="21"/>
                <w:highlight w:val="yellow"/>
              </w:rPr>
              <w:t>GCP</w:t>
            </w:r>
            <w:r w:rsidRPr="00093E41">
              <w:rPr>
                <w:rFonts w:hint="eastAsia"/>
                <w:szCs w:val="21"/>
                <w:highlight w:val="yellow"/>
              </w:rPr>
              <w:t>规定执行。</w:t>
            </w:r>
          </w:p>
        </w:tc>
        <w:tc>
          <w:tcPr>
            <w:tcW w:w="1038" w:type="pct"/>
            <w:tcBorders>
              <w:top w:val="single" w:sz="4" w:space="0" w:color="000000"/>
              <w:left w:val="single" w:sz="4" w:space="0" w:color="000000"/>
              <w:bottom w:val="single" w:sz="4" w:space="0" w:color="000000"/>
              <w:right w:val="single" w:sz="4" w:space="0" w:color="000000"/>
            </w:tcBorders>
            <w:vAlign w:val="center"/>
          </w:tcPr>
          <w:p w14:paraId="37E1EE49" w14:textId="370CB695" w:rsidR="00EC7232" w:rsidRDefault="00EC7232">
            <w:pPr>
              <w:adjustRightInd w:val="0"/>
              <w:snapToGrid w:val="0"/>
              <w:spacing w:beforeLines="50" w:before="156" w:afterLines="50" w:after="156" w:line="312" w:lineRule="auto"/>
              <w:rPr>
                <w:szCs w:val="21"/>
              </w:rPr>
            </w:pPr>
            <w:r>
              <w:rPr>
                <w:rFonts w:hint="eastAsia"/>
                <w:szCs w:val="21"/>
              </w:rPr>
              <w:lastRenderedPageBreak/>
              <w:t>增加</w:t>
            </w:r>
            <w:r w:rsidRPr="00A104AA">
              <w:rPr>
                <w:rFonts w:asciiTheme="minorEastAsia" w:eastAsiaTheme="minorEastAsia" w:hAnsiTheme="minorEastAsia"/>
                <w:szCs w:val="21"/>
              </w:rPr>
              <w:t>“</w:t>
            </w:r>
            <w:r w:rsidRPr="00EC7232">
              <w:rPr>
                <w:rFonts w:hint="eastAsia"/>
                <w:szCs w:val="21"/>
              </w:rPr>
              <w:t>自</w:t>
            </w:r>
            <w:r w:rsidRPr="00EC7232">
              <w:rPr>
                <w:rFonts w:hint="eastAsia"/>
                <w:szCs w:val="21"/>
              </w:rPr>
              <w:t>2020</w:t>
            </w:r>
            <w:r w:rsidRPr="00EC7232">
              <w:rPr>
                <w:rFonts w:hint="eastAsia"/>
                <w:szCs w:val="21"/>
              </w:rPr>
              <w:t>年</w:t>
            </w:r>
            <w:r w:rsidRPr="00EC7232">
              <w:rPr>
                <w:rFonts w:hint="eastAsia"/>
                <w:szCs w:val="21"/>
              </w:rPr>
              <w:t>07</w:t>
            </w:r>
            <w:r w:rsidRPr="00EC7232">
              <w:rPr>
                <w:rFonts w:hint="eastAsia"/>
                <w:szCs w:val="21"/>
              </w:rPr>
              <w:t>月</w:t>
            </w:r>
            <w:r w:rsidRPr="00EC7232">
              <w:rPr>
                <w:rFonts w:hint="eastAsia"/>
                <w:szCs w:val="21"/>
              </w:rPr>
              <w:t>01</w:t>
            </w:r>
            <w:r w:rsidRPr="00EC7232">
              <w:rPr>
                <w:rFonts w:hint="eastAsia"/>
                <w:szCs w:val="21"/>
              </w:rPr>
              <w:t>日</w:t>
            </w:r>
            <w:r w:rsidR="008E7DE8">
              <w:rPr>
                <w:rFonts w:hint="eastAsia"/>
                <w:szCs w:val="21"/>
              </w:rPr>
              <w:t>起</w:t>
            </w:r>
            <w:r w:rsidRPr="00EC7232">
              <w:rPr>
                <w:rFonts w:hint="eastAsia"/>
                <w:szCs w:val="21"/>
              </w:rPr>
              <w:t>，严重不良事件报告按照</w:t>
            </w:r>
            <w:r w:rsidR="00622108">
              <w:rPr>
                <w:rFonts w:hint="eastAsia"/>
                <w:szCs w:val="21"/>
              </w:rPr>
              <w:t>2</w:t>
            </w:r>
            <w:r w:rsidR="00622108">
              <w:rPr>
                <w:szCs w:val="21"/>
              </w:rPr>
              <w:t>020</w:t>
            </w:r>
            <w:r w:rsidR="00622108">
              <w:rPr>
                <w:rFonts w:hint="eastAsia"/>
                <w:szCs w:val="21"/>
              </w:rPr>
              <w:t>年</w:t>
            </w:r>
            <w:r w:rsidR="00622108" w:rsidRPr="00EC7232">
              <w:rPr>
                <w:rFonts w:hint="eastAsia"/>
                <w:szCs w:val="21"/>
              </w:rPr>
              <w:t>版</w:t>
            </w:r>
            <w:r w:rsidRPr="00EC7232">
              <w:rPr>
                <w:rFonts w:hint="eastAsia"/>
                <w:szCs w:val="21"/>
              </w:rPr>
              <w:t>GCP</w:t>
            </w:r>
            <w:r w:rsidRPr="00EC7232">
              <w:rPr>
                <w:rFonts w:hint="eastAsia"/>
                <w:szCs w:val="21"/>
              </w:rPr>
              <w:t>规定执行</w:t>
            </w:r>
            <w:r w:rsidRPr="00A104AA">
              <w:rPr>
                <w:rFonts w:asciiTheme="minorEastAsia" w:eastAsiaTheme="minorEastAsia" w:hAnsiTheme="minorEastAsia"/>
                <w:szCs w:val="21"/>
              </w:rPr>
              <w:t>”</w:t>
            </w:r>
            <w:r w:rsidRPr="00EC7232">
              <w:rPr>
                <w:rFonts w:hint="eastAsia"/>
                <w:szCs w:val="21"/>
              </w:rPr>
              <w:t>。</w:t>
            </w:r>
          </w:p>
          <w:p w14:paraId="61968235" w14:textId="77777777" w:rsidR="0065572A" w:rsidRDefault="0065572A" w:rsidP="00143165">
            <w:pPr>
              <w:adjustRightInd w:val="0"/>
              <w:snapToGrid w:val="0"/>
              <w:spacing w:beforeLines="50" w:before="156" w:afterLines="50" w:after="156" w:line="312" w:lineRule="auto"/>
              <w:rPr>
                <w:szCs w:val="21"/>
              </w:rPr>
            </w:pPr>
            <w:r>
              <w:rPr>
                <w:rFonts w:hint="eastAsia"/>
                <w:szCs w:val="21"/>
              </w:rPr>
              <w:t>因</w:t>
            </w:r>
            <w:r w:rsidR="00143165">
              <w:rPr>
                <w:rFonts w:hint="eastAsia"/>
                <w:szCs w:val="21"/>
              </w:rPr>
              <w:t>2</w:t>
            </w:r>
            <w:r w:rsidR="00143165">
              <w:rPr>
                <w:szCs w:val="21"/>
              </w:rPr>
              <w:t>020</w:t>
            </w:r>
            <w:r w:rsidR="00143165">
              <w:rPr>
                <w:rFonts w:hint="eastAsia"/>
                <w:szCs w:val="21"/>
              </w:rPr>
              <w:t>年</w:t>
            </w:r>
            <w:r w:rsidR="00143165">
              <w:rPr>
                <w:szCs w:val="21"/>
              </w:rPr>
              <w:t>版</w:t>
            </w:r>
            <w:r>
              <w:rPr>
                <w:rFonts w:hint="eastAsia"/>
                <w:szCs w:val="21"/>
              </w:rPr>
              <w:t>GCP</w:t>
            </w:r>
            <w:r>
              <w:rPr>
                <w:rFonts w:hint="eastAsia"/>
                <w:szCs w:val="21"/>
              </w:rPr>
              <w:t>于</w:t>
            </w:r>
            <w:r>
              <w:rPr>
                <w:rFonts w:hint="eastAsia"/>
                <w:szCs w:val="21"/>
              </w:rPr>
              <w:t>2020</w:t>
            </w:r>
            <w:r>
              <w:rPr>
                <w:rFonts w:hint="eastAsia"/>
                <w:szCs w:val="21"/>
              </w:rPr>
              <w:t>年</w:t>
            </w:r>
            <w:r>
              <w:rPr>
                <w:rFonts w:hint="eastAsia"/>
                <w:szCs w:val="21"/>
              </w:rPr>
              <w:t>07</w:t>
            </w:r>
            <w:r>
              <w:rPr>
                <w:rFonts w:hint="eastAsia"/>
                <w:szCs w:val="21"/>
              </w:rPr>
              <w:t>月</w:t>
            </w:r>
            <w:r>
              <w:rPr>
                <w:rFonts w:hint="eastAsia"/>
                <w:szCs w:val="21"/>
              </w:rPr>
              <w:t>01</w:t>
            </w:r>
            <w:r>
              <w:rPr>
                <w:rFonts w:hint="eastAsia"/>
                <w:szCs w:val="21"/>
              </w:rPr>
              <w:t>日起</w:t>
            </w:r>
            <w:r>
              <w:rPr>
                <w:szCs w:val="21"/>
              </w:rPr>
              <w:t>施行，</w:t>
            </w:r>
            <w:r w:rsidR="00143165">
              <w:rPr>
                <w:rFonts w:hint="eastAsia"/>
                <w:szCs w:val="21"/>
              </w:rPr>
              <w:t>2</w:t>
            </w:r>
            <w:r w:rsidR="00143165">
              <w:rPr>
                <w:szCs w:val="21"/>
              </w:rPr>
              <w:t>020</w:t>
            </w:r>
            <w:r w:rsidR="00143165">
              <w:rPr>
                <w:rFonts w:hint="eastAsia"/>
                <w:szCs w:val="21"/>
              </w:rPr>
              <w:t>年版</w:t>
            </w:r>
            <w:r>
              <w:rPr>
                <w:rFonts w:hint="eastAsia"/>
                <w:szCs w:val="21"/>
              </w:rPr>
              <w:t>GCP</w:t>
            </w:r>
            <w:r>
              <w:rPr>
                <w:rFonts w:hint="eastAsia"/>
                <w:szCs w:val="21"/>
              </w:rPr>
              <w:t>对</w:t>
            </w:r>
            <w:r>
              <w:rPr>
                <w:szCs w:val="21"/>
              </w:rPr>
              <w:t>严重</w:t>
            </w:r>
            <w:r>
              <w:rPr>
                <w:rFonts w:hint="eastAsia"/>
                <w:szCs w:val="21"/>
              </w:rPr>
              <w:t>不良</w:t>
            </w:r>
            <w:r>
              <w:rPr>
                <w:szCs w:val="21"/>
              </w:rPr>
              <w:t>事件的报告要求有所</w:t>
            </w:r>
            <w:r w:rsidR="00D449CC">
              <w:rPr>
                <w:rFonts w:hint="eastAsia"/>
                <w:szCs w:val="21"/>
              </w:rPr>
              <w:t>改变</w:t>
            </w:r>
            <w:r>
              <w:rPr>
                <w:rFonts w:hint="eastAsia"/>
                <w:szCs w:val="21"/>
              </w:rPr>
              <w:t>，</w:t>
            </w:r>
            <w:r>
              <w:rPr>
                <w:szCs w:val="21"/>
              </w:rPr>
              <w:t>暂未</w:t>
            </w:r>
            <w:r w:rsidR="00365768">
              <w:rPr>
                <w:rFonts w:hint="eastAsia"/>
                <w:szCs w:val="21"/>
              </w:rPr>
              <w:t>颁布</w:t>
            </w:r>
            <w:r>
              <w:rPr>
                <w:szCs w:val="21"/>
              </w:rPr>
              <w:t>明确细则</w:t>
            </w:r>
            <w:r>
              <w:rPr>
                <w:rFonts w:hint="eastAsia"/>
                <w:szCs w:val="21"/>
              </w:rPr>
              <w:t>。</w:t>
            </w:r>
          </w:p>
          <w:p w14:paraId="660E25AF" w14:textId="77777777" w:rsidR="0093192D" w:rsidRDefault="0093192D" w:rsidP="0093192D">
            <w:pPr>
              <w:adjustRightInd w:val="0"/>
              <w:snapToGrid w:val="0"/>
              <w:spacing w:beforeLines="50" w:before="156" w:afterLines="50" w:after="156" w:line="312" w:lineRule="auto"/>
              <w:rPr>
                <w:szCs w:val="21"/>
              </w:rPr>
            </w:pPr>
            <w:r>
              <w:rPr>
                <w:rFonts w:hint="eastAsia"/>
                <w:szCs w:val="21"/>
              </w:rPr>
              <w:t>参照</w:t>
            </w:r>
            <w:r>
              <w:rPr>
                <w:rFonts w:hint="eastAsia"/>
                <w:szCs w:val="21"/>
              </w:rPr>
              <w:t>2020</w:t>
            </w:r>
            <w:r>
              <w:rPr>
                <w:rFonts w:hint="eastAsia"/>
                <w:szCs w:val="21"/>
              </w:rPr>
              <w:t>年</w:t>
            </w:r>
            <w:r>
              <w:rPr>
                <w:rFonts w:hint="eastAsia"/>
                <w:szCs w:val="21"/>
              </w:rPr>
              <w:t>GCP</w:t>
            </w:r>
            <w:r>
              <w:rPr>
                <w:rFonts w:hint="eastAsia"/>
                <w:szCs w:val="21"/>
              </w:rPr>
              <w:t>，</w:t>
            </w:r>
            <w:r w:rsidRPr="0093192D">
              <w:rPr>
                <w:rFonts w:hint="eastAsia"/>
                <w:szCs w:val="21"/>
              </w:rPr>
              <w:t>将“可疑非</w:t>
            </w:r>
            <w:r w:rsidRPr="0093192D">
              <w:rPr>
                <w:rFonts w:hint="eastAsia"/>
                <w:szCs w:val="21"/>
              </w:rPr>
              <w:lastRenderedPageBreak/>
              <w:t>预期严重不良反应”改为“可疑且非预期严重不良反应”</w:t>
            </w:r>
          </w:p>
          <w:p w14:paraId="717F3976" w14:textId="77777777" w:rsidR="0093192D" w:rsidRPr="0093192D" w:rsidRDefault="0093192D" w:rsidP="00143165">
            <w:pPr>
              <w:adjustRightInd w:val="0"/>
              <w:snapToGrid w:val="0"/>
              <w:spacing w:beforeLines="50" w:before="156" w:afterLines="50" w:after="156" w:line="312" w:lineRule="auto"/>
              <w:rPr>
                <w:szCs w:val="21"/>
              </w:rPr>
            </w:pPr>
          </w:p>
        </w:tc>
      </w:tr>
      <w:tr w:rsidR="00D573E4" w14:paraId="642000DB" w14:textId="77777777" w:rsidTr="00A0049F">
        <w:trPr>
          <w:trHeight w:val="20"/>
        </w:trPr>
        <w:tc>
          <w:tcPr>
            <w:tcW w:w="412" w:type="pct"/>
            <w:tcBorders>
              <w:top w:val="single" w:sz="4" w:space="0" w:color="000000"/>
              <w:left w:val="single" w:sz="4" w:space="0" w:color="000000"/>
              <w:bottom w:val="single" w:sz="4" w:space="0" w:color="000000"/>
              <w:right w:val="single" w:sz="4" w:space="0" w:color="000000"/>
            </w:tcBorders>
            <w:vAlign w:val="center"/>
          </w:tcPr>
          <w:p w14:paraId="7DDBD30A" w14:textId="7CD22EEE" w:rsidR="00D573E4" w:rsidRDefault="00A104AA" w:rsidP="00672DBC">
            <w:pPr>
              <w:rPr>
                <w:b/>
                <w:szCs w:val="21"/>
              </w:rPr>
            </w:pPr>
            <w:r>
              <w:rPr>
                <w:b/>
                <w:szCs w:val="21"/>
              </w:rPr>
              <w:lastRenderedPageBreak/>
              <w:t>6</w:t>
            </w:r>
          </w:p>
        </w:tc>
        <w:tc>
          <w:tcPr>
            <w:tcW w:w="1721" w:type="pct"/>
            <w:tcBorders>
              <w:top w:val="single" w:sz="4" w:space="0" w:color="000000"/>
              <w:left w:val="single" w:sz="4" w:space="0" w:color="000000"/>
              <w:bottom w:val="single" w:sz="4" w:space="0" w:color="000000"/>
              <w:right w:val="single" w:sz="4" w:space="0" w:color="000000"/>
            </w:tcBorders>
            <w:vAlign w:val="center"/>
          </w:tcPr>
          <w:p w14:paraId="753C23E9" w14:textId="77777777" w:rsidR="009A2410" w:rsidRDefault="009A2410" w:rsidP="009A2410">
            <w:pPr>
              <w:keepNext/>
              <w:widowControl/>
              <w:topLinePunct/>
              <w:adjustRightInd w:val="0"/>
              <w:snapToGrid w:val="0"/>
              <w:spacing w:line="360" w:lineRule="auto"/>
              <w:jc w:val="left"/>
              <w:outlineLvl w:val="1"/>
              <w:rPr>
                <w:b/>
                <w:color w:val="000000" w:themeColor="text1"/>
                <w:sz w:val="24"/>
              </w:rPr>
            </w:pPr>
            <w:bookmarkStart w:id="0" w:name="_Toc11266893"/>
            <w:r>
              <w:rPr>
                <w:b/>
                <w:color w:val="000000" w:themeColor="text1"/>
                <w:sz w:val="24"/>
              </w:rPr>
              <w:t xml:space="preserve">12.2 </w:t>
            </w:r>
            <w:r>
              <w:rPr>
                <w:rFonts w:hint="eastAsia"/>
                <w:b/>
                <w:color w:val="000000" w:themeColor="text1"/>
                <w:sz w:val="24"/>
              </w:rPr>
              <w:t>统计方法</w:t>
            </w:r>
            <w:bookmarkEnd w:id="0"/>
          </w:p>
          <w:p w14:paraId="1F3A9676" w14:textId="77777777" w:rsidR="009A2410" w:rsidRPr="00044EA6" w:rsidRDefault="009A2410" w:rsidP="00044EA6">
            <w:pPr>
              <w:autoSpaceDE w:val="0"/>
              <w:autoSpaceDN w:val="0"/>
              <w:adjustRightInd w:val="0"/>
              <w:spacing w:line="360" w:lineRule="auto"/>
              <w:jc w:val="left"/>
              <w:rPr>
                <w:rFonts w:eastAsiaTheme="minorEastAsia"/>
                <w:b/>
                <w:sz w:val="24"/>
              </w:rPr>
            </w:pPr>
            <w:bookmarkStart w:id="1" w:name="_Toc430766724"/>
            <w:bookmarkStart w:id="2" w:name="_Toc430767567"/>
            <w:bookmarkStart w:id="3" w:name="_Toc430767664"/>
            <w:bookmarkStart w:id="4" w:name="_Toc430767802"/>
            <w:bookmarkStart w:id="5" w:name="_Toc462132173"/>
            <w:r w:rsidRPr="00B665C4">
              <w:rPr>
                <w:rFonts w:eastAsiaTheme="minorEastAsia"/>
                <w:b/>
                <w:sz w:val="24"/>
              </w:rPr>
              <w:t>（</w:t>
            </w:r>
            <w:r w:rsidRPr="00B665C4">
              <w:rPr>
                <w:rFonts w:eastAsiaTheme="minorEastAsia"/>
                <w:b/>
                <w:sz w:val="24"/>
              </w:rPr>
              <w:t>4</w:t>
            </w:r>
            <w:r w:rsidRPr="00B665C4">
              <w:rPr>
                <w:rFonts w:eastAsiaTheme="minorEastAsia"/>
                <w:b/>
                <w:sz w:val="24"/>
              </w:rPr>
              <w:t>）疗效分析</w:t>
            </w:r>
            <w:bookmarkEnd w:id="1"/>
            <w:bookmarkEnd w:id="2"/>
            <w:bookmarkEnd w:id="3"/>
            <w:bookmarkEnd w:id="4"/>
            <w:bookmarkEnd w:id="5"/>
          </w:p>
          <w:p w14:paraId="25AAE73D" w14:textId="77777777" w:rsidR="009A2410" w:rsidRPr="00044EA6" w:rsidRDefault="009A2410" w:rsidP="00044EA6">
            <w:pPr>
              <w:pStyle w:val="a5"/>
              <w:numPr>
                <w:ilvl w:val="0"/>
                <w:numId w:val="9"/>
              </w:numPr>
              <w:adjustRightInd w:val="0"/>
              <w:snapToGrid w:val="0"/>
              <w:spacing w:beforeLines="50" w:before="156" w:afterLines="50" w:after="156" w:line="312" w:lineRule="auto"/>
              <w:ind w:firstLineChars="0"/>
              <w:rPr>
                <w:szCs w:val="21"/>
              </w:rPr>
            </w:pPr>
            <w:r w:rsidRPr="00044EA6">
              <w:rPr>
                <w:rFonts w:ascii="Times New Roman" w:hAnsi="Times New Roman"/>
                <w:szCs w:val="21"/>
              </w:rPr>
              <w:t>NRS</w:t>
            </w:r>
            <w:r w:rsidRPr="00044EA6">
              <w:rPr>
                <w:rFonts w:ascii="Times New Roman" w:hAnsi="Times New Roman" w:hint="eastAsia"/>
                <w:szCs w:val="21"/>
              </w:rPr>
              <w:t>变化值、变化率和实测值，采用方差分析比较组间差别。</w:t>
            </w:r>
            <w:r w:rsidRPr="00044EA6">
              <w:rPr>
                <w:rFonts w:ascii="Times New Roman" w:hAnsi="Times New Roman"/>
                <w:szCs w:val="21"/>
              </w:rPr>
              <w:t>NRS</w:t>
            </w:r>
            <w:r w:rsidRPr="00044EA6">
              <w:rPr>
                <w:rFonts w:ascii="Times New Roman" w:hAnsi="Times New Roman" w:hint="eastAsia"/>
                <w:szCs w:val="21"/>
              </w:rPr>
              <w:t>实测值组内治疗前后比较采用配对</w:t>
            </w:r>
            <w:r w:rsidRPr="00044EA6">
              <w:rPr>
                <w:rFonts w:ascii="Times New Roman" w:hAnsi="Times New Roman"/>
                <w:szCs w:val="21"/>
              </w:rPr>
              <w:t>t</w:t>
            </w:r>
            <w:r w:rsidRPr="00044EA6">
              <w:rPr>
                <w:rFonts w:ascii="Times New Roman" w:hAnsi="Times New Roman" w:hint="eastAsia"/>
                <w:szCs w:val="21"/>
              </w:rPr>
              <w:t>检验。</w:t>
            </w:r>
          </w:p>
          <w:p w14:paraId="2875D5BF" w14:textId="77777777" w:rsidR="009A2410" w:rsidRPr="00044EA6" w:rsidRDefault="009A2410" w:rsidP="00044EA6">
            <w:pPr>
              <w:pStyle w:val="a5"/>
              <w:numPr>
                <w:ilvl w:val="0"/>
                <w:numId w:val="9"/>
              </w:numPr>
              <w:adjustRightInd w:val="0"/>
              <w:snapToGrid w:val="0"/>
              <w:spacing w:beforeLines="50" w:before="156" w:afterLines="50" w:after="156" w:line="312" w:lineRule="auto"/>
              <w:ind w:firstLineChars="0"/>
              <w:rPr>
                <w:szCs w:val="21"/>
              </w:rPr>
            </w:pPr>
            <w:r w:rsidRPr="00044EA6">
              <w:rPr>
                <w:rFonts w:ascii="Times New Roman" w:hAnsi="Times New Roman" w:hint="eastAsia"/>
                <w:szCs w:val="21"/>
              </w:rPr>
              <w:t>疼痛累及天数，采用方差分析比较组间差别。</w:t>
            </w:r>
          </w:p>
          <w:p w14:paraId="4B95B7E9" w14:textId="77777777" w:rsidR="009A2410" w:rsidRPr="00044EA6" w:rsidRDefault="009A2410" w:rsidP="00044EA6">
            <w:pPr>
              <w:pStyle w:val="a5"/>
              <w:numPr>
                <w:ilvl w:val="0"/>
                <w:numId w:val="9"/>
              </w:numPr>
              <w:adjustRightInd w:val="0"/>
              <w:snapToGrid w:val="0"/>
              <w:spacing w:beforeLines="50" w:before="156" w:afterLines="50" w:after="156" w:line="312" w:lineRule="auto"/>
              <w:ind w:firstLineChars="0"/>
              <w:rPr>
                <w:szCs w:val="21"/>
              </w:rPr>
            </w:pPr>
            <w:r w:rsidRPr="00044EA6">
              <w:rPr>
                <w:rFonts w:ascii="Times New Roman" w:hAnsi="Times New Roman" w:hint="eastAsia"/>
                <w:szCs w:val="21"/>
              </w:rPr>
              <w:t>疼痛</w:t>
            </w:r>
            <w:r w:rsidRPr="00044EA6">
              <w:rPr>
                <w:rFonts w:ascii="Times New Roman" w:hAnsi="Times New Roman"/>
                <w:szCs w:val="21"/>
              </w:rPr>
              <w:t>AUC</w:t>
            </w:r>
            <w:r w:rsidRPr="00044EA6">
              <w:rPr>
                <w:rFonts w:ascii="Times New Roman" w:hAnsi="Times New Roman" w:hint="eastAsia"/>
                <w:szCs w:val="21"/>
              </w:rPr>
              <w:t>（疼痛</w:t>
            </w:r>
            <w:r w:rsidRPr="00044EA6">
              <w:rPr>
                <w:rFonts w:ascii="Times New Roman" w:hAnsi="Times New Roman"/>
                <w:szCs w:val="21"/>
              </w:rPr>
              <w:t>-</w:t>
            </w:r>
            <w:r w:rsidRPr="00044EA6">
              <w:rPr>
                <w:rFonts w:ascii="Times New Roman" w:hAnsi="Times New Roman" w:hint="eastAsia"/>
                <w:szCs w:val="21"/>
              </w:rPr>
              <w:t>时间曲线下面积），采用方差分析比较组间差别。</w:t>
            </w:r>
          </w:p>
          <w:p w14:paraId="49BD2FF9" w14:textId="77777777" w:rsidR="009A2410" w:rsidRPr="00044EA6" w:rsidRDefault="009A2410" w:rsidP="00044EA6">
            <w:pPr>
              <w:pStyle w:val="a5"/>
              <w:numPr>
                <w:ilvl w:val="0"/>
                <w:numId w:val="9"/>
              </w:numPr>
              <w:adjustRightInd w:val="0"/>
              <w:snapToGrid w:val="0"/>
              <w:spacing w:beforeLines="50" w:before="156" w:afterLines="50" w:after="156" w:line="312" w:lineRule="auto"/>
              <w:ind w:firstLineChars="0"/>
              <w:rPr>
                <w:szCs w:val="21"/>
              </w:rPr>
            </w:pPr>
            <w:r w:rsidRPr="00044EA6">
              <w:rPr>
                <w:rFonts w:ascii="Times New Roman" w:hAnsi="Times New Roman" w:hint="eastAsia"/>
                <w:szCs w:val="21"/>
              </w:rPr>
              <w:t>中医证候疗效评价计算各组痊愈、显效、有效、无</w:t>
            </w:r>
            <w:r w:rsidRPr="00044EA6">
              <w:rPr>
                <w:rFonts w:ascii="Times New Roman" w:hAnsi="Times New Roman" w:hint="eastAsia"/>
                <w:szCs w:val="21"/>
              </w:rPr>
              <w:lastRenderedPageBreak/>
              <w:t>效患者的比例，描述各组中各疗效人群的例数及比例，采用考虑中心因素的</w:t>
            </w:r>
            <w:r w:rsidRPr="00044EA6">
              <w:rPr>
                <w:rFonts w:ascii="Times New Roman" w:hAnsi="Times New Roman"/>
                <w:szCs w:val="21"/>
              </w:rPr>
              <w:t>CMH χ2</w:t>
            </w:r>
            <w:r w:rsidRPr="00044EA6">
              <w:rPr>
                <w:rFonts w:ascii="Times New Roman" w:hAnsi="Times New Roman" w:hint="eastAsia"/>
                <w:szCs w:val="21"/>
              </w:rPr>
              <w:t>比较组间差异。治愈率（治愈受试者的百分比）、愈显率（治愈</w:t>
            </w:r>
            <w:r w:rsidRPr="00044EA6">
              <w:rPr>
                <w:rFonts w:ascii="Times New Roman" w:hAnsi="Times New Roman"/>
                <w:szCs w:val="21"/>
              </w:rPr>
              <w:t>+</w:t>
            </w:r>
            <w:r w:rsidRPr="00044EA6">
              <w:rPr>
                <w:rFonts w:ascii="Times New Roman" w:hAnsi="Times New Roman" w:hint="eastAsia"/>
                <w:szCs w:val="21"/>
              </w:rPr>
              <w:t>显效受试者的百分比）和总有效率（治愈</w:t>
            </w:r>
            <w:r w:rsidRPr="00044EA6">
              <w:rPr>
                <w:rFonts w:ascii="Times New Roman" w:hAnsi="Times New Roman"/>
                <w:szCs w:val="21"/>
              </w:rPr>
              <w:t>+</w:t>
            </w:r>
            <w:r w:rsidRPr="00044EA6">
              <w:rPr>
                <w:rFonts w:ascii="Times New Roman" w:hAnsi="Times New Roman" w:hint="eastAsia"/>
                <w:szCs w:val="21"/>
              </w:rPr>
              <w:t>显效</w:t>
            </w:r>
            <w:r w:rsidRPr="00044EA6">
              <w:rPr>
                <w:rFonts w:ascii="Times New Roman" w:hAnsi="Times New Roman"/>
                <w:szCs w:val="21"/>
              </w:rPr>
              <w:t>+</w:t>
            </w:r>
            <w:r w:rsidRPr="00044EA6">
              <w:rPr>
                <w:rFonts w:ascii="Times New Roman" w:hAnsi="Times New Roman" w:hint="eastAsia"/>
                <w:szCs w:val="21"/>
              </w:rPr>
              <w:t>有效受试者的百分比），采用考虑中心因素的</w:t>
            </w:r>
            <w:r w:rsidRPr="00044EA6">
              <w:rPr>
                <w:rFonts w:ascii="Times New Roman" w:hAnsi="Times New Roman"/>
                <w:szCs w:val="21"/>
              </w:rPr>
              <w:t>CMHχ2</w:t>
            </w:r>
            <w:r w:rsidRPr="00044EA6">
              <w:rPr>
                <w:rFonts w:ascii="Times New Roman" w:hAnsi="Times New Roman" w:hint="eastAsia"/>
                <w:szCs w:val="21"/>
              </w:rPr>
              <w:t>法比较组间差别。</w:t>
            </w:r>
          </w:p>
          <w:p w14:paraId="79E6447C" w14:textId="77777777" w:rsidR="009A2410" w:rsidRPr="00044EA6" w:rsidRDefault="009A2410" w:rsidP="00044EA6">
            <w:pPr>
              <w:pStyle w:val="a5"/>
              <w:numPr>
                <w:ilvl w:val="0"/>
                <w:numId w:val="9"/>
              </w:numPr>
              <w:adjustRightInd w:val="0"/>
              <w:snapToGrid w:val="0"/>
              <w:spacing w:beforeLines="50" w:before="156" w:afterLines="50" w:after="156" w:line="312" w:lineRule="auto"/>
              <w:ind w:firstLineChars="0"/>
              <w:rPr>
                <w:szCs w:val="21"/>
              </w:rPr>
            </w:pPr>
            <w:r w:rsidRPr="00044EA6">
              <w:rPr>
                <w:rFonts w:ascii="Times New Roman" w:hAnsi="Times New Roman" w:hint="eastAsia"/>
                <w:szCs w:val="21"/>
              </w:rPr>
              <w:t>肿块相关检查（如肿块数量、靶肿块长径等）变化值、变化率和实测值，采用方差分析比较组间差别。</w:t>
            </w:r>
          </w:p>
          <w:p w14:paraId="11DE51DE" w14:textId="77777777" w:rsidR="009A2410" w:rsidRPr="00044EA6" w:rsidRDefault="009A2410" w:rsidP="00044EA6">
            <w:pPr>
              <w:pStyle w:val="a5"/>
              <w:numPr>
                <w:ilvl w:val="0"/>
                <w:numId w:val="9"/>
              </w:numPr>
              <w:adjustRightInd w:val="0"/>
              <w:snapToGrid w:val="0"/>
              <w:spacing w:beforeLines="50" w:before="156" w:afterLines="50" w:after="156" w:line="312" w:lineRule="auto"/>
              <w:ind w:firstLineChars="0"/>
              <w:rPr>
                <w:szCs w:val="21"/>
              </w:rPr>
            </w:pPr>
            <w:r w:rsidRPr="00044EA6">
              <w:rPr>
                <w:rFonts w:ascii="Times New Roman" w:hAnsi="Times New Roman" w:hint="eastAsia"/>
                <w:szCs w:val="21"/>
              </w:rPr>
              <w:t>靶肿块检查（如腺体厚度、结节数目、最大结节大小、导管最大内径）变化值、变化率和实测值，采用方差分析比较组间差别。</w:t>
            </w:r>
          </w:p>
          <w:p w14:paraId="18F77F34" w14:textId="77777777" w:rsidR="009A2410" w:rsidRPr="00044EA6" w:rsidRDefault="009A2410" w:rsidP="00044EA6">
            <w:pPr>
              <w:pStyle w:val="a5"/>
              <w:numPr>
                <w:ilvl w:val="0"/>
                <w:numId w:val="9"/>
              </w:numPr>
              <w:adjustRightInd w:val="0"/>
              <w:snapToGrid w:val="0"/>
              <w:spacing w:beforeLines="50" w:before="156" w:afterLines="50" w:after="156" w:line="312" w:lineRule="auto"/>
              <w:ind w:firstLineChars="0"/>
              <w:rPr>
                <w:szCs w:val="21"/>
              </w:rPr>
            </w:pPr>
            <w:r w:rsidRPr="00044EA6">
              <w:rPr>
                <w:rFonts w:ascii="Times New Roman" w:hAnsi="Times New Roman" w:hint="eastAsia"/>
                <w:szCs w:val="21"/>
              </w:rPr>
              <w:t>中医证候积分变化值、变化率和实测值，采用方差分析比较组间差别。</w:t>
            </w:r>
          </w:p>
          <w:p w14:paraId="69D7A14A" w14:textId="77777777" w:rsidR="009A2410" w:rsidRPr="00044EA6" w:rsidRDefault="009A2410" w:rsidP="00044EA6">
            <w:pPr>
              <w:pStyle w:val="a5"/>
              <w:numPr>
                <w:ilvl w:val="0"/>
                <w:numId w:val="9"/>
              </w:numPr>
              <w:adjustRightInd w:val="0"/>
              <w:snapToGrid w:val="0"/>
              <w:spacing w:beforeLines="50" w:before="156" w:afterLines="50" w:after="156" w:line="312" w:lineRule="auto"/>
              <w:ind w:firstLineChars="0"/>
              <w:rPr>
                <w:szCs w:val="21"/>
              </w:rPr>
            </w:pPr>
            <w:r w:rsidRPr="00044EA6">
              <w:rPr>
                <w:rFonts w:ascii="Times New Roman" w:hAnsi="Times New Roman" w:hint="eastAsia"/>
                <w:szCs w:val="21"/>
              </w:rPr>
              <w:t>中医证候单项指标消失率，采用χ</w:t>
            </w:r>
            <w:r w:rsidRPr="00044EA6">
              <w:rPr>
                <w:rFonts w:ascii="Times New Roman" w:hAnsi="Times New Roman"/>
                <w:szCs w:val="21"/>
              </w:rPr>
              <w:t>2</w:t>
            </w:r>
            <w:r w:rsidRPr="00044EA6">
              <w:rPr>
                <w:rFonts w:ascii="Times New Roman" w:hAnsi="Times New Roman" w:hint="eastAsia"/>
                <w:szCs w:val="21"/>
              </w:rPr>
              <w:t>检验或</w:t>
            </w:r>
            <w:r w:rsidRPr="00044EA6">
              <w:rPr>
                <w:rFonts w:ascii="Times New Roman" w:hAnsi="Times New Roman"/>
                <w:szCs w:val="21"/>
              </w:rPr>
              <w:t>Fisher</w:t>
            </w:r>
            <w:r w:rsidRPr="00044EA6">
              <w:rPr>
                <w:rFonts w:ascii="Times New Roman" w:hAnsi="Times New Roman" w:hint="eastAsia"/>
                <w:szCs w:val="21"/>
              </w:rPr>
              <w:t>精确概率法比较组间差别。</w:t>
            </w:r>
          </w:p>
          <w:p w14:paraId="105384F4" w14:textId="77777777" w:rsidR="009A2410" w:rsidRPr="00044EA6" w:rsidRDefault="009A2410" w:rsidP="009A2410">
            <w:pPr>
              <w:adjustRightInd w:val="0"/>
              <w:snapToGrid w:val="0"/>
              <w:spacing w:beforeLines="50" w:before="156" w:afterLines="50" w:after="156" w:line="312" w:lineRule="auto"/>
              <w:rPr>
                <w:szCs w:val="21"/>
              </w:rPr>
            </w:pPr>
            <w:r w:rsidRPr="00044EA6">
              <w:rPr>
                <w:rFonts w:hint="eastAsia"/>
                <w:szCs w:val="21"/>
              </w:rPr>
              <w:t>以上方差分析</w:t>
            </w:r>
            <w:r w:rsidRPr="00044EA6">
              <w:rPr>
                <w:szCs w:val="21"/>
              </w:rPr>
              <w:t>P</w:t>
            </w:r>
            <w:r w:rsidRPr="00044EA6">
              <w:rPr>
                <w:rFonts w:hint="eastAsia"/>
                <w:szCs w:val="21"/>
              </w:rPr>
              <w:t>小于或等于</w:t>
            </w:r>
            <w:r w:rsidRPr="00044EA6">
              <w:rPr>
                <w:szCs w:val="21"/>
              </w:rPr>
              <w:t>0.05</w:t>
            </w:r>
            <w:r w:rsidRPr="00044EA6">
              <w:rPr>
                <w:rFonts w:hint="eastAsia"/>
                <w:szCs w:val="21"/>
              </w:rPr>
              <w:t>时，采用</w:t>
            </w:r>
            <w:r w:rsidRPr="00044EA6">
              <w:rPr>
                <w:szCs w:val="21"/>
              </w:rPr>
              <w:t>LSD-t</w:t>
            </w:r>
            <w:r w:rsidRPr="00044EA6">
              <w:rPr>
                <w:rFonts w:hint="eastAsia"/>
                <w:szCs w:val="21"/>
              </w:rPr>
              <w:t>检验进行组间两两比较。</w:t>
            </w:r>
          </w:p>
          <w:p w14:paraId="6F203BC9" w14:textId="77777777" w:rsidR="00D573E4" w:rsidRPr="00D573E4" w:rsidRDefault="009A2410" w:rsidP="009A2410">
            <w:pPr>
              <w:adjustRightInd w:val="0"/>
              <w:snapToGrid w:val="0"/>
              <w:spacing w:beforeLines="50" w:before="156" w:afterLines="50" w:after="156" w:line="312" w:lineRule="auto"/>
              <w:rPr>
                <w:b/>
                <w:szCs w:val="21"/>
              </w:rPr>
            </w:pPr>
            <w:r w:rsidRPr="00044EA6">
              <w:rPr>
                <w:rFonts w:hint="eastAsia"/>
                <w:szCs w:val="21"/>
              </w:rPr>
              <w:t>若仅一侧乳房具有靶肿块，则以此侧进行统计分析；若两侧均有靶肿块，则以研究医师</w:t>
            </w:r>
            <w:proofErr w:type="gramStart"/>
            <w:r w:rsidRPr="00044EA6">
              <w:rPr>
                <w:rFonts w:hint="eastAsia"/>
                <w:szCs w:val="21"/>
              </w:rPr>
              <w:t>判断较</w:t>
            </w:r>
            <w:proofErr w:type="gramEnd"/>
            <w:r w:rsidRPr="00044EA6">
              <w:rPr>
                <w:rFonts w:hint="eastAsia"/>
                <w:szCs w:val="21"/>
              </w:rPr>
              <w:t>严重侧为主要</w:t>
            </w:r>
            <w:r w:rsidRPr="00044EA6">
              <w:rPr>
                <w:rFonts w:hint="eastAsia"/>
                <w:szCs w:val="21"/>
              </w:rPr>
              <w:lastRenderedPageBreak/>
              <w:t>统计分析侧。</w:t>
            </w:r>
          </w:p>
        </w:tc>
        <w:tc>
          <w:tcPr>
            <w:tcW w:w="1829" w:type="pct"/>
            <w:tcBorders>
              <w:top w:val="single" w:sz="4" w:space="0" w:color="000000"/>
              <w:left w:val="single" w:sz="4" w:space="0" w:color="000000"/>
              <w:bottom w:val="single" w:sz="4" w:space="0" w:color="000000"/>
              <w:right w:val="single" w:sz="4" w:space="0" w:color="000000"/>
            </w:tcBorders>
          </w:tcPr>
          <w:p w14:paraId="42A2823C" w14:textId="77777777" w:rsidR="009A2410" w:rsidRDefault="009A2410" w:rsidP="009A2410">
            <w:pPr>
              <w:keepNext/>
              <w:widowControl/>
              <w:topLinePunct/>
              <w:adjustRightInd w:val="0"/>
              <w:snapToGrid w:val="0"/>
              <w:spacing w:line="360" w:lineRule="auto"/>
              <w:jc w:val="left"/>
              <w:outlineLvl w:val="1"/>
              <w:rPr>
                <w:b/>
                <w:color w:val="000000" w:themeColor="text1"/>
                <w:sz w:val="24"/>
              </w:rPr>
            </w:pPr>
            <w:r>
              <w:rPr>
                <w:b/>
                <w:color w:val="000000" w:themeColor="text1"/>
                <w:sz w:val="24"/>
              </w:rPr>
              <w:lastRenderedPageBreak/>
              <w:t xml:space="preserve">12.2 </w:t>
            </w:r>
            <w:r>
              <w:rPr>
                <w:rFonts w:hint="eastAsia"/>
                <w:b/>
                <w:color w:val="000000" w:themeColor="text1"/>
                <w:sz w:val="24"/>
              </w:rPr>
              <w:t>统计方法</w:t>
            </w:r>
          </w:p>
          <w:p w14:paraId="6F6B0725" w14:textId="77777777" w:rsidR="009A2410" w:rsidRPr="001C214B" w:rsidRDefault="009A2410" w:rsidP="009A2410">
            <w:pPr>
              <w:autoSpaceDE w:val="0"/>
              <w:autoSpaceDN w:val="0"/>
              <w:adjustRightInd w:val="0"/>
              <w:spacing w:line="360" w:lineRule="auto"/>
              <w:jc w:val="left"/>
              <w:rPr>
                <w:rFonts w:eastAsiaTheme="minorEastAsia"/>
                <w:b/>
                <w:sz w:val="24"/>
              </w:rPr>
            </w:pPr>
            <w:r w:rsidRPr="00B665C4">
              <w:rPr>
                <w:rFonts w:eastAsiaTheme="minorEastAsia"/>
                <w:b/>
                <w:sz w:val="24"/>
              </w:rPr>
              <w:t>（</w:t>
            </w:r>
            <w:r w:rsidRPr="00B665C4">
              <w:rPr>
                <w:rFonts w:eastAsiaTheme="minorEastAsia"/>
                <w:b/>
                <w:sz w:val="24"/>
              </w:rPr>
              <w:t>4</w:t>
            </w:r>
            <w:r w:rsidRPr="00B665C4">
              <w:rPr>
                <w:rFonts w:eastAsiaTheme="minorEastAsia"/>
                <w:b/>
                <w:sz w:val="24"/>
              </w:rPr>
              <w:t>）疗效分析</w:t>
            </w:r>
          </w:p>
          <w:p w14:paraId="77FDFDFD" w14:textId="77777777" w:rsidR="009A2410" w:rsidRPr="00044EA6" w:rsidRDefault="009A2410" w:rsidP="00044EA6">
            <w:pPr>
              <w:pStyle w:val="a5"/>
              <w:numPr>
                <w:ilvl w:val="0"/>
                <w:numId w:val="9"/>
              </w:numPr>
              <w:adjustRightInd w:val="0"/>
              <w:snapToGrid w:val="0"/>
              <w:spacing w:beforeLines="50" w:before="156" w:afterLines="50" w:after="156" w:line="312" w:lineRule="auto"/>
              <w:ind w:firstLineChars="0"/>
              <w:rPr>
                <w:szCs w:val="21"/>
              </w:rPr>
            </w:pPr>
            <w:r w:rsidRPr="00044EA6">
              <w:rPr>
                <w:rFonts w:ascii="Times New Roman" w:hAnsi="Times New Roman"/>
                <w:szCs w:val="21"/>
              </w:rPr>
              <w:t>NRS</w:t>
            </w:r>
            <w:r w:rsidRPr="00044EA6">
              <w:rPr>
                <w:rFonts w:ascii="Times New Roman" w:hAnsi="Times New Roman" w:hint="eastAsia"/>
                <w:szCs w:val="21"/>
              </w:rPr>
              <w:t>评分</w:t>
            </w:r>
          </w:p>
          <w:p w14:paraId="6605D44F" w14:textId="77777777" w:rsidR="009A2410" w:rsidRPr="00044EA6" w:rsidRDefault="009A2410" w:rsidP="00044EA6">
            <w:pPr>
              <w:adjustRightInd w:val="0"/>
              <w:snapToGrid w:val="0"/>
              <w:spacing w:beforeLines="50" w:before="156" w:afterLines="50" w:after="156" w:line="312" w:lineRule="auto"/>
              <w:ind w:left="454" w:firstLineChars="200" w:firstLine="420"/>
              <w:rPr>
                <w:szCs w:val="21"/>
              </w:rPr>
            </w:pPr>
            <w:r w:rsidRPr="00044EA6">
              <w:rPr>
                <w:rFonts w:hint="eastAsia"/>
                <w:szCs w:val="21"/>
              </w:rPr>
              <w:t>第</w:t>
            </w:r>
            <w:r w:rsidRPr="00044EA6">
              <w:rPr>
                <w:szCs w:val="21"/>
              </w:rPr>
              <w:t>3</w:t>
            </w:r>
            <w:r w:rsidRPr="00044EA6">
              <w:rPr>
                <w:rFonts w:hint="eastAsia"/>
                <w:szCs w:val="21"/>
              </w:rPr>
              <w:t>次月经结束后，访视间隔</w:t>
            </w:r>
            <w:r w:rsidRPr="00044EA6">
              <w:rPr>
                <w:szCs w:val="21"/>
              </w:rPr>
              <w:t>NRS</w:t>
            </w:r>
            <w:r w:rsidRPr="00044EA6">
              <w:rPr>
                <w:rFonts w:hint="eastAsia"/>
                <w:szCs w:val="21"/>
              </w:rPr>
              <w:t>平均分与基线相比的变化值、变化率，采用以分组、中心为固定效应，基线</w:t>
            </w:r>
            <w:r w:rsidRPr="00044EA6">
              <w:rPr>
                <w:szCs w:val="21"/>
              </w:rPr>
              <w:t>NRS</w:t>
            </w:r>
            <w:r w:rsidRPr="00044EA6">
              <w:rPr>
                <w:rFonts w:hint="eastAsia"/>
                <w:szCs w:val="21"/>
              </w:rPr>
              <w:t>评分为协变量的协方差模型进行组间差别的分析，并根据模型计算各组最小二乘均数（</w:t>
            </w:r>
            <w:r w:rsidRPr="00044EA6">
              <w:rPr>
                <w:szCs w:val="21"/>
              </w:rPr>
              <w:t>LSMEAN</w:t>
            </w:r>
            <w:r w:rsidRPr="00044EA6">
              <w:rPr>
                <w:rFonts w:hint="eastAsia"/>
                <w:szCs w:val="21"/>
              </w:rPr>
              <w:t>）及（试验组</w:t>
            </w:r>
            <w:r w:rsidRPr="00044EA6">
              <w:rPr>
                <w:szCs w:val="21"/>
              </w:rPr>
              <w:t>1-</w:t>
            </w:r>
            <w:r w:rsidRPr="00044EA6">
              <w:rPr>
                <w:rFonts w:hint="eastAsia"/>
                <w:szCs w:val="21"/>
              </w:rPr>
              <w:t>对照组、试验组</w:t>
            </w:r>
            <w:r w:rsidRPr="00044EA6">
              <w:rPr>
                <w:szCs w:val="21"/>
              </w:rPr>
              <w:t>2-</w:t>
            </w:r>
            <w:r w:rsidRPr="00044EA6">
              <w:rPr>
                <w:rFonts w:hint="eastAsia"/>
                <w:szCs w:val="21"/>
              </w:rPr>
              <w:t>对照组、试验组</w:t>
            </w:r>
            <w:r w:rsidRPr="00044EA6">
              <w:rPr>
                <w:szCs w:val="21"/>
              </w:rPr>
              <w:t>1-</w:t>
            </w:r>
            <w:r w:rsidRPr="00044EA6">
              <w:rPr>
                <w:rFonts w:hint="eastAsia"/>
                <w:szCs w:val="21"/>
              </w:rPr>
              <w:t>试验组</w:t>
            </w:r>
            <w:r w:rsidRPr="00044EA6">
              <w:rPr>
                <w:szCs w:val="21"/>
              </w:rPr>
              <w:t>2</w:t>
            </w:r>
            <w:r w:rsidRPr="00044EA6">
              <w:rPr>
                <w:rFonts w:hint="eastAsia"/>
                <w:szCs w:val="21"/>
              </w:rPr>
              <w:t>）组间最小二乘均数差值的</w:t>
            </w:r>
            <w:proofErr w:type="spellStart"/>
            <w:r w:rsidRPr="00044EA6">
              <w:rPr>
                <w:szCs w:val="21"/>
              </w:rPr>
              <w:t>Tukey</w:t>
            </w:r>
            <w:proofErr w:type="spellEnd"/>
            <w:r w:rsidRPr="00044EA6">
              <w:rPr>
                <w:rFonts w:hint="eastAsia"/>
                <w:szCs w:val="21"/>
              </w:rPr>
              <w:t>法校正的</w:t>
            </w:r>
            <w:r w:rsidRPr="00044EA6">
              <w:rPr>
                <w:szCs w:val="21"/>
              </w:rPr>
              <w:t>95%</w:t>
            </w:r>
            <w:r w:rsidRPr="00044EA6">
              <w:rPr>
                <w:rFonts w:hint="eastAsia"/>
                <w:szCs w:val="21"/>
              </w:rPr>
              <w:t>可信区间。</w:t>
            </w:r>
            <w:r w:rsidRPr="00044EA6">
              <w:rPr>
                <w:szCs w:val="21"/>
              </w:rPr>
              <w:t>NRS</w:t>
            </w:r>
            <w:r w:rsidRPr="00044EA6">
              <w:rPr>
                <w:rFonts w:hint="eastAsia"/>
                <w:szCs w:val="21"/>
              </w:rPr>
              <w:t>实测</w:t>
            </w:r>
            <w:proofErr w:type="gramStart"/>
            <w:r w:rsidRPr="00044EA6">
              <w:rPr>
                <w:rFonts w:hint="eastAsia"/>
                <w:szCs w:val="21"/>
              </w:rPr>
              <w:t>值各个</w:t>
            </w:r>
            <w:proofErr w:type="gramEnd"/>
            <w:r w:rsidRPr="00044EA6">
              <w:rPr>
                <w:rFonts w:hint="eastAsia"/>
                <w:szCs w:val="21"/>
              </w:rPr>
              <w:t>时间</w:t>
            </w:r>
            <w:r w:rsidRPr="00044EA6">
              <w:rPr>
                <w:rFonts w:hint="eastAsia"/>
                <w:szCs w:val="21"/>
              </w:rPr>
              <w:lastRenderedPageBreak/>
              <w:t>点进行描述统计，并采用配对</w:t>
            </w:r>
            <w:r w:rsidRPr="00044EA6">
              <w:rPr>
                <w:szCs w:val="21"/>
              </w:rPr>
              <w:t>t</w:t>
            </w:r>
            <w:r w:rsidRPr="00044EA6">
              <w:rPr>
                <w:rFonts w:hint="eastAsia"/>
                <w:szCs w:val="21"/>
              </w:rPr>
              <w:t>检验对组内治疗前后进行比较分析。绘制</w:t>
            </w:r>
            <w:r w:rsidRPr="00044EA6">
              <w:rPr>
                <w:szCs w:val="21"/>
              </w:rPr>
              <w:t>NRS</w:t>
            </w:r>
            <w:r w:rsidRPr="00044EA6">
              <w:rPr>
                <w:rFonts w:hint="eastAsia"/>
                <w:szCs w:val="21"/>
              </w:rPr>
              <w:t>在治疗前后各个时间点的折线图和</w:t>
            </w:r>
            <w:proofErr w:type="gramStart"/>
            <w:r w:rsidRPr="00044EA6">
              <w:rPr>
                <w:rFonts w:hint="eastAsia"/>
                <w:szCs w:val="21"/>
              </w:rPr>
              <w:t>疗后</w:t>
            </w:r>
            <w:proofErr w:type="gramEnd"/>
            <w:r w:rsidRPr="00044EA6">
              <w:rPr>
                <w:rFonts w:hint="eastAsia"/>
                <w:szCs w:val="21"/>
              </w:rPr>
              <w:t>较基线变化的柱状图。</w:t>
            </w:r>
          </w:p>
          <w:p w14:paraId="08AECF37" w14:textId="59487AC1" w:rsidR="009A2410" w:rsidRPr="00044EA6" w:rsidRDefault="009A2410" w:rsidP="00044EA6">
            <w:pPr>
              <w:pStyle w:val="a5"/>
              <w:numPr>
                <w:ilvl w:val="0"/>
                <w:numId w:val="9"/>
              </w:numPr>
              <w:adjustRightInd w:val="0"/>
              <w:snapToGrid w:val="0"/>
              <w:spacing w:beforeLines="50" w:before="156" w:afterLines="50" w:after="156" w:line="312" w:lineRule="auto"/>
              <w:ind w:firstLineChars="0"/>
              <w:rPr>
                <w:szCs w:val="21"/>
              </w:rPr>
            </w:pPr>
            <w:r w:rsidRPr="00044EA6">
              <w:rPr>
                <w:rFonts w:ascii="Times New Roman" w:hAnsi="Times New Roman" w:hint="eastAsia"/>
                <w:szCs w:val="21"/>
              </w:rPr>
              <w:t>疼痛累及天内</w:t>
            </w:r>
            <w:r w:rsidRPr="00044EA6">
              <w:rPr>
                <w:rFonts w:ascii="Times New Roman" w:hAnsi="Times New Roman"/>
                <w:szCs w:val="21"/>
              </w:rPr>
              <w:t>NRS</w:t>
            </w:r>
            <w:r w:rsidRPr="00044EA6">
              <w:rPr>
                <w:rFonts w:ascii="Times New Roman" w:hAnsi="Times New Roman" w:hint="eastAsia"/>
                <w:szCs w:val="21"/>
              </w:rPr>
              <w:t>均值、疼痛累及天数、疼痛</w:t>
            </w:r>
            <w:r w:rsidRPr="00044EA6">
              <w:rPr>
                <w:rFonts w:ascii="Times New Roman" w:hAnsi="Times New Roman"/>
                <w:szCs w:val="21"/>
              </w:rPr>
              <w:t>AUC</w:t>
            </w:r>
            <w:r w:rsidRPr="00044EA6">
              <w:rPr>
                <w:rFonts w:ascii="Times New Roman" w:hAnsi="Times New Roman" w:hint="eastAsia"/>
                <w:szCs w:val="21"/>
              </w:rPr>
              <w:t>、肿块数目、靶肿块长径实测值、靶肿块</w:t>
            </w:r>
            <w:r w:rsidRPr="00044EA6">
              <w:rPr>
                <w:rFonts w:ascii="Times New Roman" w:hAnsi="Times New Roman"/>
                <w:szCs w:val="21"/>
              </w:rPr>
              <w:t>B</w:t>
            </w:r>
            <w:r w:rsidRPr="00044EA6">
              <w:rPr>
                <w:rFonts w:ascii="Times New Roman" w:hAnsi="Times New Roman" w:hint="eastAsia"/>
                <w:szCs w:val="21"/>
              </w:rPr>
              <w:t>超检查相关指标和中医证候总分均采用与</w:t>
            </w:r>
            <w:r w:rsidRPr="00044EA6">
              <w:rPr>
                <w:rFonts w:ascii="Times New Roman" w:hAnsi="Times New Roman"/>
                <w:szCs w:val="21"/>
              </w:rPr>
              <w:t>NRS</w:t>
            </w:r>
            <w:r w:rsidRPr="00044EA6">
              <w:rPr>
                <w:rFonts w:ascii="Times New Roman" w:hAnsi="Times New Roman" w:hint="eastAsia"/>
                <w:szCs w:val="21"/>
              </w:rPr>
              <w:t>评分相同的统计方法。</w:t>
            </w:r>
          </w:p>
          <w:p w14:paraId="355035C4" w14:textId="77777777" w:rsidR="009A2410" w:rsidRPr="00044EA6" w:rsidRDefault="009A2410" w:rsidP="00044EA6">
            <w:pPr>
              <w:pStyle w:val="a5"/>
              <w:numPr>
                <w:ilvl w:val="0"/>
                <w:numId w:val="9"/>
              </w:numPr>
              <w:adjustRightInd w:val="0"/>
              <w:snapToGrid w:val="0"/>
              <w:spacing w:beforeLines="50" w:before="156" w:afterLines="50" w:after="156" w:line="312" w:lineRule="auto"/>
              <w:ind w:firstLineChars="0"/>
              <w:rPr>
                <w:szCs w:val="21"/>
              </w:rPr>
            </w:pPr>
            <w:r w:rsidRPr="00044EA6">
              <w:rPr>
                <w:rFonts w:ascii="Times New Roman" w:hAnsi="Times New Roman" w:hint="eastAsia"/>
                <w:szCs w:val="21"/>
              </w:rPr>
              <w:t>中医证候疗效评价计算各组治愈、显效、有效、无效患者的比例，描述各组中各疗效人群的例数及比例，采用考虑中心因素的</w:t>
            </w:r>
            <w:r w:rsidRPr="00044EA6">
              <w:rPr>
                <w:rFonts w:ascii="Times New Roman" w:hAnsi="Times New Roman"/>
                <w:szCs w:val="21"/>
              </w:rPr>
              <w:t>CMH χ2</w:t>
            </w:r>
            <w:r w:rsidRPr="00044EA6">
              <w:rPr>
                <w:rFonts w:ascii="Times New Roman" w:hAnsi="Times New Roman" w:hint="eastAsia"/>
                <w:szCs w:val="21"/>
              </w:rPr>
              <w:t>比较组间差异。治愈率（治愈受试者的百分比）、愈显率（治愈</w:t>
            </w:r>
            <w:r w:rsidRPr="00044EA6">
              <w:rPr>
                <w:rFonts w:ascii="Times New Roman" w:hAnsi="Times New Roman"/>
                <w:szCs w:val="21"/>
              </w:rPr>
              <w:t>+</w:t>
            </w:r>
            <w:r w:rsidRPr="00044EA6">
              <w:rPr>
                <w:rFonts w:ascii="Times New Roman" w:hAnsi="Times New Roman" w:hint="eastAsia"/>
                <w:szCs w:val="21"/>
              </w:rPr>
              <w:t>显效受试者的百分比）和总有效率（治愈</w:t>
            </w:r>
            <w:r w:rsidRPr="00044EA6">
              <w:rPr>
                <w:rFonts w:ascii="Times New Roman" w:hAnsi="Times New Roman"/>
                <w:szCs w:val="21"/>
              </w:rPr>
              <w:t>+</w:t>
            </w:r>
            <w:r w:rsidRPr="00044EA6">
              <w:rPr>
                <w:rFonts w:ascii="Times New Roman" w:hAnsi="Times New Roman" w:hint="eastAsia"/>
                <w:szCs w:val="21"/>
              </w:rPr>
              <w:t>显效</w:t>
            </w:r>
            <w:r w:rsidRPr="00044EA6">
              <w:rPr>
                <w:rFonts w:ascii="Times New Roman" w:hAnsi="Times New Roman"/>
                <w:szCs w:val="21"/>
              </w:rPr>
              <w:t>+</w:t>
            </w:r>
            <w:r w:rsidRPr="00044EA6">
              <w:rPr>
                <w:rFonts w:ascii="Times New Roman" w:hAnsi="Times New Roman" w:hint="eastAsia"/>
                <w:szCs w:val="21"/>
              </w:rPr>
              <w:t>有效受试者的百分比），采用考虑中心因素的</w:t>
            </w:r>
            <w:r w:rsidRPr="00044EA6">
              <w:rPr>
                <w:rFonts w:ascii="Times New Roman" w:hAnsi="Times New Roman"/>
                <w:szCs w:val="21"/>
              </w:rPr>
              <w:t>CMHχ2</w:t>
            </w:r>
            <w:r w:rsidRPr="00044EA6">
              <w:rPr>
                <w:rFonts w:ascii="Times New Roman" w:hAnsi="Times New Roman" w:hint="eastAsia"/>
                <w:szCs w:val="21"/>
              </w:rPr>
              <w:t>法比较组间差别。</w:t>
            </w:r>
          </w:p>
          <w:p w14:paraId="612B704D" w14:textId="3A59777A" w:rsidR="009A2410" w:rsidRPr="00044EA6" w:rsidRDefault="009A2410" w:rsidP="00044EA6">
            <w:pPr>
              <w:pStyle w:val="a5"/>
              <w:numPr>
                <w:ilvl w:val="0"/>
                <w:numId w:val="9"/>
              </w:numPr>
              <w:adjustRightInd w:val="0"/>
              <w:snapToGrid w:val="0"/>
              <w:spacing w:beforeLines="50" w:before="156" w:afterLines="50" w:after="156" w:line="312" w:lineRule="auto"/>
              <w:ind w:firstLineChars="0"/>
              <w:rPr>
                <w:szCs w:val="21"/>
              </w:rPr>
            </w:pPr>
            <w:r w:rsidRPr="00044EA6">
              <w:rPr>
                <w:rFonts w:ascii="Times New Roman" w:hAnsi="Times New Roman" w:hint="eastAsia"/>
                <w:szCs w:val="21"/>
              </w:rPr>
              <w:t>中医证候单项指标消失率</w:t>
            </w:r>
            <w:r w:rsidR="005A4A52">
              <w:rPr>
                <w:rFonts w:ascii="Times New Roman" w:hAnsi="Times New Roman"/>
                <w:szCs w:val="21"/>
              </w:rPr>
              <w:t>，</w:t>
            </w:r>
            <w:r w:rsidRPr="00044EA6">
              <w:rPr>
                <w:rFonts w:ascii="Times New Roman" w:hAnsi="Times New Roman" w:hint="eastAsia"/>
                <w:szCs w:val="21"/>
              </w:rPr>
              <w:t>采用考虑中心因素的</w:t>
            </w:r>
            <w:r w:rsidRPr="00044EA6">
              <w:rPr>
                <w:rFonts w:ascii="Times New Roman" w:hAnsi="Times New Roman"/>
                <w:szCs w:val="21"/>
              </w:rPr>
              <w:t>CMHχ2</w:t>
            </w:r>
            <w:r w:rsidRPr="00044EA6">
              <w:rPr>
                <w:rFonts w:ascii="Times New Roman" w:hAnsi="Times New Roman" w:hint="eastAsia"/>
                <w:szCs w:val="21"/>
              </w:rPr>
              <w:t>比较组间差别。</w:t>
            </w:r>
          </w:p>
          <w:p w14:paraId="5A801A7B" w14:textId="77777777" w:rsidR="009A2410" w:rsidRPr="00044EA6" w:rsidRDefault="009A2410" w:rsidP="00044EA6">
            <w:pPr>
              <w:adjustRightInd w:val="0"/>
              <w:snapToGrid w:val="0"/>
              <w:spacing w:beforeLines="50" w:before="156" w:afterLines="50" w:after="156" w:line="312" w:lineRule="auto"/>
              <w:rPr>
                <w:szCs w:val="21"/>
              </w:rPr>
            </w:pPr>
            <w:r w:rsidRPr="00044EA6">
              <w:rPr>
                <w:rFonts w:hint="eastAsia"/>
                <w:szCs w:val="21"/>
              </w:rPr>
              <w:t>若仅一侧乳房具有靶肿块，则以此侧进行统计分析；若两侧均有靶肿块，则以研究医师</w:t>
            </w:r>
            <w:proofErr w:type="gramStart"/>
            <w:r w:rsidRPr="00044EA6">
              <w:rPr>
                <w:rFonts w:hint="eastAsia"/>
                <w:szCs w:val="21"/>
              </w:rPr>
              <w:t>判断较</w:t>
            </w:r>
            <w:proofErr w:type="gramEnd"/>
            <w:r w:rsidRPr="00044EA6">
              <w:rPr>
                <w:rFonts w:hint="eastAsia"/>
                <w:szCs w:val="21"/>
              </w:rPr>
              <w:t>严重侧为主要统计分析侧。</w:t>
            </w:r>
          </w:p>
          <w:p w14:paraId="7F84B8B9" w14:textId="77777777" w:rsidR="00D573E4" w:rsidRPr="009A2410" w:rsidRDefault="00D573E4" w:rsidP="00D573E4">
            <w:pPr>
              <w:adjustRightInd w:val="0"/>
              <w:snapToGrid w:val="0"/>
              <w:spacing w:beforeLines="50" w:before="156" w:afterLines="50" w:after="156" w:line="312" w:lineRule="auto"/>
              <w:rPr>
                <w:b/>
                <w:szCs w:val="21"/>
              </w:rPr>
            </w:pPr>
          </w:p>
        </w:tc>
        <w:tc>
          <w:tcPr>
            <w:tcW w:w="1038" w:type="pct"/>
            <w:tcBorders>
              <w:top w:val="single" w:sz="4" w:space="0" w:color="000000"/>
              <w:left w:val="single" w:sz="4" w:space="0" w:color="000000"/>
              <w:bottom w:val="single" w:sz="4" w:space="0" w:color="000000"/>
              <w:right w:val="single" w:sz="4" w:space="0" w:color="000000"/>
            </w:tcBorders>
            <w:vAlign w:val="center"/>
          </w:tcPr>
          <w:p w14:paraId="21AF7B75" w14:textId="03104CAF" w:rsidR="00D573E4" w:rsidRDefault="009A2410">
            <w:pPr>
              <w:adjustRightInd w:val="0"/>
              <w:snapToGrid w:val="0"/>
              <w:spacing w:beforeLines="50" w:before="156" w:afterLines="50" w:after="156" w:line="312" w:lineRule="auto"/>
              <w:rPr>
                <w:szCs w:val="21"/>
              </w:rPr>
            </w:pPr>
            <w:r>
              <w:rPr>
                <w:rFonts w:hint="eastAsia"/>
                <w:szCs w:val="21"/>
              </w:rPr>
              <w:lastRenderedPageBreak/>
              <w:t>优化</w:t>
            </w:r>
            <w:r>
              <w:rPr>
                <w:szCs w:val="21"/>
              </w:rPr>
              <w:t>统计分析方法</w:t>
            </w:r>
            <w:r w:rsidR="008B7B58">
              <w:rPr>
                <w:rFonts w:hint="eastAsia"/>
                <w:szCs w:val="21"/>
              </w:rPr>
              <w:t>，“</w:t>
            </w:r>
            <w:r w:rsidR="008B7B58">
              <w:rPr>
                <w:szCs w:val="21"/>
              </w:rPr>
              <w:t>方差分析</w:t>
            </w:r>
            <w:r w:rsidR="008B7B58">
              <w:rPr>
                <w:rFonts w:hint="eastAsia"/>
                <w:szCs w:val="21"/>
              </w:rPr>
              <w:t>”</w:t>
            </w:r>
            <w:r w:rsidR="008B7B58">
              <w:rPr>
                <w:szCs w:val="21"/>
              </w:rPr>
              <w:t>改为</w:t>
            </w:r>
            <w:r w:rsidR="008B7B58">
              <w:rPr>
                <w:rFonts w:hint="eastAsia"/>
                <w:szCs w:val="21"/>
              </w:rPr>
              <w:t>“</w:t>
            </w:r>
            <w:r w:rsidR="008B7B58">
              <w:rPr>
                <w:szCs w:val="21"/>
              </w:rPr>
              <w:t>协方差分析</w:t>
            </w:r>
            <w:r w:rsidR="008B7B58">
              <w:rPr>
                <w:rFonts w:hint="eastAsia"/>
                <w:szCs w:val="21"/>
              </w:rPr>
              <w:t>”</w:t>
            </w:r>
            <w:r>
              <w:rPr>
                <w:rFonts w:hint="eastAsia"/>
                <w:szCs w:val="21"/>
              </w:rPr>
              <w:t>；</w:t>
            </w:r>
            <w:r>
              <w:rPr>
                <w:szCs w:val="21"/>
              </w:rPr>
              <w:t>不同指标采用相同</w:t>
            </w:r>
            <w:r w:rsidR="00EF1728">
              <w:rPr>
                <w:rFonts w:hint="eastAsia"/>
                <w:szCs w:val="21"/>
              </w:rPr>
              <w:t>统计</w:t>
            </w:r>
            <w:r>
              <w:rPr>
                <w:szCs w:val="21"/>
              </w:rPr>
              <w:t>分析方法的进行合并</w:t>
            </w:r>
            <w:r>
              <w:rPr>
                <w:rFonts w:hint="eastAsia"/>
                <w:szCs w:val="21"/>
              </w:rPr>
              <w:t>描述</w:t>
            </w:r>
            <w:r>
              <w:rPr>
                <w:szCs w:val="21"/>
              </w:rPr>
              <w:t>。</w:t>
            </w:r>
          </w:p>
        </w:tc>
      </w:tr>
      <w:tr w:rsidR="00B21D67" w14:paraId="403B9CFD" w14:textId="77777777" w:rsidTr="00A0049F">
        <w:trPr>
          <w:trHeight w:val="20"/>
        </w:trPr>
        <w:tc>
          <w:tcPr>
            <w:tcW w:w="412" w:type="pct"/>
            <w:tcBorders>
              <w:top w:val="single" w:sz="4" w:space="0" w:color="000000"/>
              <w:left w:val="single" w:sz="4" w:space="0" w:color="000000"/>
              <w:bottom w:val="single" w:sz="4" w:space="0" w:color="000000"/>
              <w:right w:val="single" w:sz="4" w:space="0" w:color="000000"/>
            </w:tcBorders>
            <w:vAlign w:val="center"/>
          </w:tcPr>
          <w:p w14:paraId="14C8D742" w14:textId="0581C4C3" w:rsidR="00B21D67" w:rsidRPr="00B21D67" w:rsidRDefault="00B21D67" w:rsidP="00672DBC">
            <w:pPr>
              <w:rPr>
                <w:b/>
                <w:szCs w:val="21"/>
              </w:rPr>
            </w:pPr>
            <w:r>
              <w:rPr>
                <w:b/>
                <w:szCs w:val="21"/>
              </w:rPr>
              <w:lastRenderedPageBreak/>
              <w:t>7</w:t>
            </w:r>
          </w:p>
        </w:tc>
        <w:tc>
          <w:tcPr>
            <w:tcW w:w="1721" w:type="pct"/>
            <w:tcBorders>
              <w:top w:val="single" w:sz="4" w:space="0" w:color="000000"/>
              <w:left w:val="single" w:sz="4" w:space="0" w:color="000000"/>
              <w:bottom w:val="single" w:sz="4" w:space="0" w:color="000000"/>
              <w:right w:val="single" w:sz="4" w:space="0" w:color="000000"/>
            </w:tcBorders>
            <w:vAlign w:val="center"/>
          </w:tcPr>
          <w:p w14:paraId="75CDABD6" w14:textId="77777777" w:rsidR="00B21D67" w:rsidRPr="00E91C34" w:rsidRDefault="00B21D67" w:rsidP="00B21D67">
            <w:pPr>
              <w:keepNext/>
              <w:widowControl/>
              <w:topLinePunct/>
              <w:adjustRightInd w:val="0"/>
              <w:snapToGrid w:val="0"/>
              <w:spacing w:line="360" w:lineRule="auto"/>
              <w:jc w:val="left"/>
              <w:outlineLvl w:val="1"/>
              <w:rPr>
                <w:b/>
                <w:color w:val="000000" w:themeColor="text1"/>
                <w:sz w:val="24"/>
              </w:rPr>
            </w:pPr>
            <w:bookmarkStart w:id="6" w:name="_Toc524446605"/>
            <w:bookmarkStart w:id="7" w:name="_Toc11266898"/>
            <w:r w:rsidRPr="00E91C34">
              <w:rPr>
                <w:b/>
                <w:color w:val="000000" w:themeColor="text1"/>
                <w:sz w:val="24"/>
              </w:rPr>
              <w:t>13.2</w:t>
            </w:r>
            <w:r>
              <w:rPr>
                <w:b/>
                <w:color w:val="000000" w:themeColor="text1"/>
                <w:sz w:val="24"/>
              </w:rPr>
              <w:t xml:space="preserve"> </w:t>
            </w:r>
            <w:r w:rsidRPr="00E91C34">
              <w:rPr>
                <w:b/>
                <w:color w:val="000000" w:themeColor="text1"/>
                <w:sz w:val="24"/>
              </w:rPr>
              <w:t>受试者的医疗和保护</w:t>
            </w:r>
            <w:bookmarkEnd w:id="6"/>
            <w:bookmarkEnd w:id="7"/>
          </w:p>
          <w:p w14:paraId="6E462C26" w14:textId="77777777" w:rsidR="00B21D67" w:rsidRPr="00E36BA0" w:rsidRDefault="00B21D67" w:rsidP="00E36BA0">
            <w:pPr>
              <w:adjustRightInd w:val="0"/>
              <w:snapToGrid w:val="0"/>
              <w:spacing w:line="312" w:lineRule="auto"/>
              <w:ind w:firstLineChars="200" w:firstLine="420"/>
              <w:rPr>
                <w:szCs w:val="21"/>
              </w:rPr>
            </w:pPr>
            <w:r w:rsidRPr="00E36BA0">
              <w:rPr>
                <w:rFonts w:hint="eastAsia"/>
                <w:szCs w:val="21"/>
              </w:rPr>
              <w:t>各临床试验中心研究者应负责受试者的医疗，做出与临床试验相关的医疗决定，保证受试者在临床试验期间，其疾病能够得到有效治疗，在出现不良事件时，也能够及时得到治疗。</w:t>
            </w:r>
          </w:p>
          <w:p w14:paraId="15188DF1" w14:textId="36C0539B" w:rsidR="00B21D67" w:rsidRPr="00E36BA0" w:rsidRDefault="00B21D67" w:rsidP="00E36BA0">
            <w:pPr>
              <w:adjustRightInd w:val="0"/>
              <w:snapToGrid w:val="0"/>
              <w:spacing w:line="312" w:lineRule="auto"/>
              <w:ind w:firstLineChars="200" w:firstLine="420"/>
              <w:rPr>
                <w:szCs w:val="21"/>
              </w:rPr>
            </w:pPr>
            <w:r w:rsidRPr="00E36BA0">
              <w:rPr>
                <w:rFonts w:hint="eastAsia"/>
                <w:szCs w:val="21"/>
              </w:rPr>
              <w:t>申办者与研究者对临床试验中所发生的严重不良事件，应采取必要的措施以保证受试者的安全和权益，</w:t>
            </w:r>
            <w:r w:rsidRPr="00E36BA0">
              <w:rPr>
                <w:rFonts w:hint="eastAsia"/>
                <w:szCs w:val="21"/>
                <w:highlight w:val="yellow"/>
              </w:rPr>
              <w:t>并及时向药品监督管理部门、伦理委员会报告，同时向涉及同一药物临床试验的其他研究中心通报严重不良事件</w:t>
            </w:r>
            <w:r w:rsidRPr="00E36BA0">
              <w:rPr>
                <w:rFonts w:hint="eastAsia"/>
                <w:szCs w:val="21"/>
              </w:rPr>
              <w:t>。</w:t>
            </w:r>
          </w:p>
          <w:p w14:paraId="77F6AE7A" w14:textId="0B5440B2" w:rsidR="00B21D67" w:rsidRPr="00E36BA0" w:rsidRDefault="00B21D67" w:rsidP="00E36BA0">
            <w:pPr>
              <w:adjustRightInd w:val="0"/>
              <w:snapToGrid w:val="0"/>
              <w:spacing w:line="312" w:lineRule="auto"/>
              <w:ind w:firstLineChars="200" w:firstLine="420"/>
              <w:rPr>
                <w:color w:val="000000" w:themeColor="text1"/>
                <w:sz w:val="24"/>
              </w:rPr>
            </w:pPr>
            <w:r w:rsidRPr="00E36BA0">
              <w:rPr>
                <w:rFonts w:hint="eastAsia"/>
                <w:szCs w:val="21"/>
              </w:rPr>
              <w:t>申办者应对临床试验中出现的于临床试验相关的损害进行相应的补偿。</w:t>
            </w:r>
          </w:p>
        </w:tc>
        <w:tc>
          <w:tcPr>
            <w:tcW w:w="1829" w:type="pct"/>
            <w:tcBorders>
              <w:top w:val="single" w:sz="4" w:space="0" w:color="000000"/>
              <w:left w:val="single" w:sz="4" w:space="0" w:color="000000"/>
              <w:bottom w:val="single" w:sz="4" w:space="0" w:color="000000"/>
              <w:right w:val="single" w:sz="4" w:space="0" w:color="000000"/>
            </w:tcBorders>
          </w:tcPr>
          <w:p w14:paraId="4DD93A63" w14:textId="77777777" w:rsidR="00B21D67" w:rsidRPr="00E91C34" w:rsidRDefault="00B21D67" w:rsidP="00B21D67">
            <w:pPr>
              <w:keepNext/>
              <w:widowControl/>
              <w:topLinePunct/>
              <w:adjustRightInd w:val="0"/>
              <w:snapToGrid w:val="0"/>
              <w:spacing w:line="360" w:lineRule="auto"/>
              <w:jc w:val="left"/>
              <w:outlineLvl w:val="1"/>
              <w:rPr>
                <w:b/>
                <w:color w:val="000000" w:themeColor="text1"/>
                <w:sz w:val="24"/>
              </w:rPr>
            </w:pPr>
            <w:r w:rsidRPr="00E91C34">
              <w:rPr>
                <w:b/>
                <w:color w:val="000000" w:themeColor="text1"/>
                <w:sz w:val="24"/>
              </w:rPr>
              <w:t>13.2</w:t>
            </w:r>
            <w:r>
              <w:rPr>
                <w:b/>
                <w:color w:val="000000" w:themeColor="text1"/>
                <w:sz w:val="24"/>
              </w:rPr>
              <w:t xml:space="preserve"> </w:t>
            </w:r>
            <w:r w:rsidRPr="00E91C34">
              <w:rPr>
                <w:b/>
                <w:color w:val="000000" w:themeColor="text1"/>
                <w:sz w:val="24"/>
              </w:rPr>
              <w:t>受试者的医疗和保护</w:t>
            </w:r>
          </w:p>
          <w:p w14:paraId="21A1BDE9" w14:textId="77777777" w:rsidR="00B21D67" w:rsidRPr="00E36BA0" w:rsidRDefault="00B21D67" w:rsidP="00E36BA0">
            <w:pPr>
              <w:adjustRightInd w:val="0"/>
              <w:snapToGrid w:val="0"/>
              <w:spacing w:line="312" w:lineRule="auto"/>
              <w:ind w:firstLineChars="200" w:firstLine="420"/>
              <w:rPr>
                <w:szCs w:val="21"/>
              </w:rPr>
            </w:pPr>
            <w:r w:rsidRPr="00E36BA0">
              <w:rPr>
                <w:rFonts w:hint="eastAsia"/>
                <w:szCs w:val="21"/>
              </w:rPr>
              <w:t>各临床试验中心研究者应负责受试者的医疗，做出与临床试验相关的医疗决定，保证受试者在临床试验期间，其疾病能够得到有效治疗，在出现不良事件时，也能够及时得到治疗。</w:t>
            </w:r>
          </w:p>
          <w:p w14:paraId="54FF543B" w14:textId="0448F16B" w:rsidR="00B21D67" w:rsidRPr="00E36BA0" w:rsidRDefault="00B21D67" w:rsidP="00E36BA0">
            <w:pPr>
              <w:adjustRightInd w:val="0"/>
              <w:snapToGrid w:val="0"/>
              <w:spacing w:line="312" w:lineRule="auto"/>
              <w:ind w:firstLineChars="200" w:firstLine="420"/>
              <w:rPr>
                <w:szCs w:val="21"/>
              </w:rPr>
            </w:pPr>
            <w:r w:rsidRPr="00E36BA0">
              <w:rPr>
                <w:rFonts w:hint="eastAsia"/>
                <w:szCs w:val="21"/>
              </w:rPr>
              <w:t>申办者与研究者对临床试验中所发生的严重不良事件，应采取必要的措施以保证受试者的安全和权益。</w:t>
            </w:r>
          </w:p>
          <w:p w14:paraId="4D9084AB" w14:textId="624F4B4D" w:rsidR="00B21D67" w:rsidRDefault="00B21D67" w:rsidP="00E36BA0">
            <w:pPr>
              <w:adjustRightInd w:val="0"/>
              <w:snapToGrid w:val="0"/>
              <w:spacing w:line="312" w:lineRule="auto"/>
              <w:ind w:firstLineChars="200" w:firstLine="420"/>
              <w:rPr>
                <w:b/>
                <w:color w:val="000000" w:themeColor="text1"/>
                <w:sz w:val="24"/>
              </w:rPr>
            </w:pPr>
            <w:r w:rsidRPr="00E36BA0">
              <w:rPr>
                <w:rFonts w:hint="eastAsia"/>
                <w:szCs w:val="21"/>
              </w:rPr>
              <w:t>申办者应对临床试验中出现的于临床试验相关的损害进行相应的补偿。</w:t>
            </w:r>
          </w:p>
        </w:tc>
        <w:tc>
          <w:tcPr>
            <w:tcW w:w="1038" w:type="pct"/>
            <w:tcBorders>
              <w:top w:val="single" w:sz="4" w:space="0" w:color="000000"/>
              <w:left w:val="single" w:sz="4" w:space="0" w:color="000000"/>
              <w:bottom w:val="single" w:sz="4" w:space="0" w:color="000000"/>
              <w:right w:val="single" w:sz="4" w:space="0" w:color="000000"/>
            </w:tcBorders>
            <w:vAlign w:val="center"/>
          </w:tcPr>
          <w:p w14:paraId="51E5E156" w14:textId="77777777" w:rsidR="008B7B58" w:rsidRDefault="00B21D67" w:rsidP="0093192D">
            <w:pPr>
              <w:adjustRightInd w:val="0"/>
              <w:snapToGrid w:val="0"/>
              <w:spacing w:beforeLines="50" w:before="156" w:afterLines="50" w:after="156" w:line="312" w:lineRule="auto"/>
              <w:rPr>
                <w:szCs w:val="21"/>
              </w:rPr>
            </w:pPr>
            <w:r>
              <w:rPr>
                <w:rFonts w:hint="eastAsia"/>
                <w:szCs w:val="21"/>
              </w:rPr>
              <w:t>参照</w:t>
            </w:r>
            <w:r>
              <w:rPr>
                <w:szCs w:val="21"/>
              </w:rPr>
              <w:t>2020</w:t>
            </w:r>
            <w:r>
              <w:rPr>
                <w:rFonts w:hint="eastAsia"/>
                <w:szCs w:val="21"/>
              </w:rPr>
              <w:t>年</w:t>
            </w:r>
            <w:r>
              <w:rPr>
                <w:szCs w:val="21"/>
              </w:rPr>
              <w:t>版</w:t>
            </w:r>
            <w:r>
              <w:rPr>
                <w:rFonts w:hint="eastAsia"/>
                <w:szCs w:val="21"/>
              </w:rPr>
              <w:t>GCP</w:t>
            </w:r>
            <w:r>
              <w:rPr>
                <w:rFonts w:hint="eastAsia"/>
                <w:szCs w:val="21"/>
              </w:rPr>
              <w:t>规定</w:t>
            </w:r>
            <w:r>
              <w:rPr>
                <w:szCs w:val="21"/>
              </w:rPr>
              <w:t>，申办方</w:t>
            </w:r>
            <w:r w:rsidR="0093192D">
              <w:rPr>
                <w:rFonts w:hint="eastAsia"/>
                <w:szCs w:val="21"/>
              </w:rPr>
              <w:t>不需要</w:t>
            </w:r>
            <w:r w:rsidR="0093192D">
              <w:rPr>
                <w:szCs w:val="21"/>
              </w:rPr>
              <w:t>报告所有的严重不良事件，而</w:t>
            </w:r>
            <w:r w:rsidR="0093192D">
              <w:rPr>
                <w:rFonts w:hint="eastAsia"/>
                <w:szCs w:val="21"/>
              </w:rPr>
              <w:t>应</w:t>
            </w:r>
            <w:r w:rsidR="0093192D">
              <w:rPr>
                <w:szCs w:val="21"/>
              </w:rPr>
              <w:t>将可疑且非预期严重不良</w:t>
            </w:r>
            <w:r w:rsidR="0093192D">
              <w:rPr>
                <w:rFonts w:hint="eastAsia"/>
                <w:szCs w:val="21"/>
              </w:rPr>
              <w:t>反应</w:t>
            </w:r>
            <w:r w:rsidR="0093192D">
              <w:rPr>
                <w:szCs w:val="21"/>
              </w:rPr>
              <w:t>快速</w:t>
            </w:r>
            <w:r>
              <w:rPr>
                <w:rFonts w:hint="eastAsia"/>
                <w:szCs w:val="21"/>
              </w:rPr>
              <w:t>报告</w:t>
            </w:r>
            <w:r w:rsidR="0093192D">
              <w:rPr>
                <w:rFonts w:hint="eastAsia"/>
                <w:szCs w:val="21"/>
              </w:rPr>
              <w:t>给</w:t>
            </w:r>
            <w:r>
              <w:rPr>
                <w:rFonts w:hint="eastAsia"/>
                <w:szCs w:val="21"/>
              </w:rPr>
              <w:t>所有</w:t>
            </w:r>
            <w:r w:rsidR="0093192D">
              <w:rPr>
                <w:rFonts w:hint="eastAsia"/>
                <w:szCs w:val="21"/>
              </w:rPr>
              <w:t>参加</w:t>
            </w:r>
            <w:r w:rsidR="0093192D">
              <w:rPr>
                <w:szCs w:val="21"/>
              </w:rPr>
              <w:t>临床试</w:t>
            </w:r>
            <w:bookmarkStart w:id="8" w:name="_GoBack"/>
            <w:bookmarkEnd w:id="8"/>
            <w:r w:rsidR="0093192D">
              <w:rPr>
                <w:szCs w:val="21"/>
              </w:rPr>
              <w:t>验的研究者及临床试验机构、伦理委员会。</w:t>
            </w:r>
          </w:p>
          <w:p w14:paraId="3C3E61D3" w14:textId="2BF7E7F0" w:rsidR="00B21D67" w:rsidRPr="00E36BA0" w:rsidRDefault="0093192D">
            <w:pPr>
              <w:adjustRightInd w:val="0"/>
              <w:snapToGrid w:val="0"/>
              <w:spacing w:beforeLines="50" w:before="156" w:afterLines="50" w:after="156" w:line="312" w:lineRule="auto"/>
              <w:rPr>
                <w:rFonts w:asciiTheme="minorEastAsia" w:eastAsiaTheme="minorEastAsia" w:hAnsiTheme="minorEastAsia"/>
                <w:szCs w:val="21"/>
              </w:rPr>
            </w:pPr>
            <w:r>
              <w:rPr>
                <w:rFonts w:hint="eastAsia"/>
                <w:szCs w:val="21"/>
              </w:rPr>
              <w:t>删除</w:t>
            </w:r>
            <w:r w:rsidRPr="001D3583">
              <w:rPr>
                <w:rFonts w:asciiTheme="minorEastAsia" w:eastAsiaTheme="minorEastAsia" w:hAnsiTheme="minorEastAsia"/>
                <w:szCs w:val="21"/>
              </w:rPr>
              <w:t>“</w:t>
            </w:r>
            <w:r w:rsidRPr="001D3583">
              <w:rPr>
                <w:rFonts w:asciiTheme="minorEastAsia" w:eastAsiaTheme="minorEastAsia" w:hAnsiTheme="minorEastAsia" w:hint="eastAsia"/>
                <w:szCs w:val="21"/>
              </w:rPr>
              <w:t>并</w:t>
            </w:r>
            <w:r w:rsidRPr="001D3583">
              <w:rPr>
                <w:rFonts w:asciiTheme="minorEastAsia" w:eastAsiaTheme="minorEastAsia" w:hAnsiTheme="minorEastAsia"/>
                <w:szCs w:val="21"/>
              </w:rPr>
              <w:t>及时向药品监督管理部门</w:t>
            </w:r>
            <w:r w:rsidRPr="001D3583">
              <w:rPr>
                <w:rFonts w:asciiTheme="minorEastAsia" w:eastAsiaTheme="minorEastAsia" w:hAnsiTheme="minorEastAsia" w:hint="eastAsia"/>
                <w:szCs w:val="21"/>
              </w:rPr>
              <w:t>、</w:t>
            </w:r>
            <w:r w:rsidRPr="001D3583">
              <w:rPr>
                <w:rFonts w:asciiTheme="minorEastAsia" w:eastAsiaTheme="minorEastAsia" w:hAnsiTheme="minorEastAsia"/>
                <w:szCs w:val="21"/>
              </w:rPr>
              <w:t>伦理委员会报告，</w:t>
            </w:r>
            <w:r w:rsidRPr="001D3583">
              <w:rPr>
                <w:rFonts w:asciiTheme="minorEastAsia" w:eastAsiaTheme="minorEastAsia" w:hAnsiTheme="minorEastAsia" w:hint="eastAsia"/>
                <w:szCs w:val="21"/>
              </w:rPr>
              <w:t>同时向涉及同一药物临床试验的其他研究中心通报严重不良事件</w:t>
            </w:r>
            <w:r w:rsidRPr="001D3583">
              <w:rPr>
                <w:rFonts w:asciiTheme="minorEastAsia" w:eastAsiaTheme="minorEastAsia" w:hAnsiTheme="minorEastAsia"/>
                <w:szCs w:val="21"/>
              </w:rPr>
              <w:t>”</w:t>
            </w:r>
            <w:r w:rsidRPr="001D3583">
              <w:rPr>
                <w:rFonts w:asciiTheme="minorEastAsia" w:eastAsiaTheme="minorEastAsia" w:hAnsiTheme="minorEastAsia" w:hint="eastAsia"/>
                <w:szCs w:val="21"/>
              </w:rPr>
              <w:t>。</w:t>
            </w:r>
          </w:p>
        </w:tc>
      </w:tr>
      <w:tr w:rsidR="00C86167" w14:paraId="6E4D65B5" w14:textId="77777777" w:rsidTr="00C86167">
        <w:trPr>
          <w:trHeight w:val="20"/>
        </w:trPr>
        <w:tc>
          <w:tcPr>
            <w:tcW w:w="412" w:type="pct"/>
            <w:tcBorders>
              <w:top w:val="single" w:sz="4" w:space="0" w:color="000000"/>
              <w:left w:val="single" w:sz="4" w:space="0" w:color="000000"/>
              <w:bottom w:val="single" w:sz="4" w:space="0" w:color="000000"/>
              <w:right w:val="single" w:sz="4" w:space="0" w:color="000000"/>
            </w:tcBorders>
            <w:vAlign w:val="center"/>
          </w:tcPr>
          <w:p w14:paraId="3ACDCB18" w14:textId="6514E694" w:rsidR="00C86167" w:rsidRPr="00C45D92" w:rsidRDefault="0093192D" w:rsidP="00672DBC">
            <w:pPr>
              <w:rPr>
                <w:b/>
                <w:szCs w:val="21"/>
              </w:rPr>
            </w:pPr>
            <w:r>
              <w:rPr>
                <w:b/>
                <w:szCs w:val="21"/>
              </w:rPr>
              <w:t>8</w:t>
            </w:r>
          </w:p>
        </w:tc>
        <w:tc>
          <w:tcPr>
            <w:tcW w:w="4588" w:type="pct"/>
            <w:gridSpan w:val="3"/>
            <w:tcBorders>
              <w:top w:val="single" w:sz="4" w:space="0" w:color="000000"/>
              <w:left w:val="single" w:sz="4" w:space="0" w:color="000000"/>
              <w:bottom w:val="single" w:sz="4" w:space="0" w:color="000000"/>
              <w:right w:val="single" w:sz="4" w:space="0" w:color="000000"/>
            </w:tcBorders>
            <w:vAlign w:val="center"/>
          </w:tcPr>
          <w:p w14:paraId="03F52307" w14:textId="77777777" w:rsidR="00C86167" w:rsidRPr="00C45D92" w:rsidRDefault="00C86167" w:rsidP="00093E41">
            <w:pPr>
              <w:adjustRightInd w:val="0"/>
              <w:snapToGrid w:val="0"/>
              <w:spacing w:beforeLines="50" w:before="156" w:afterLines="50" w:after="156" w:line="312" w:lineRule="auto"/>
              <w:rPr>
                <w:szCs w:val="21"/>
              </w:rPr>
            </w:pPr>
            <w:r w:rsidRPr="00093E41">
              <w:rPr>
                <w:rFonts w:hint="eastAsia"/>
                <w:szCs w:val="21"/>
              </w:rPr>
              <w:t>以上在其他重复出现的地方对应修改。</w:t>
            </w:r>
          </w:p>
        </w:tc>
      </w:tr>
    </w:tbl>
    <w:p w14:paraId="2A43CA5D" w14:textId="77777777" w:rsidR="005B240B" w:rsidRDefault="005B240B"/>
    <w:sectPr w:rsidR="005B240B" w:rsidSect="00CC2D81">
      <w:headerReference w:type="default" r:id="rId8"/>
      <w:pgSz w:w="16838" w:h="11906" w:orient="landscape"/>
      <w:pgMar w:top="1440" w:right="1304" w:bottom="1418" w:left="680" w:header="680" w:footer="397"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2B2BFF" w14:textId="77777777" w:rsidR="002E309B" w:rsidRDefault="002E309B" w:rsidP="00305F55">
      <w:r>
        <w:separator/>
      </w:r>
    </w:p>
  </w:endnote>
  <w:endnote w:type="continuationSeparator" w:id="0">
    <w:p w14:paraId="322EA9D5" w14:textId="77777777" w:rsidR="002E309B" w:rsidRDefault="002E309B" w:rsidP="00305F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华文细黑">
    <w:panose1 w:val="02010600040101010101"/>
    <w:charset w:val="86"/>
    <w:family w:val="auto"/>
    <w:pitch w:val="variable"/>
    <w:sig w:usb0="00000287" w:usb1="080F0000" w:usb2="00000010" w:usb3="00000000" w:csb0="0004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F62885" w14:textId="77777777" w:rsidR="002E309B" w:rsidRDefault="002E309B" w:rsidP="00305F55">
      <w:r>
        <w:separator/>
      </w:r>
    </w:p>
  </w:footnote>
  <w:footnote w:type="continuationSeparator" w:id="0">
    <w:p w14:paraId="5356363F" w14:textId="77777777" w:rsidR="002E309B" w:rsidRDefault="002E309B" w:rsidP="00305F5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2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0"/>
      <w:gridCol w:w="3219"/>
      <w:gridCol w:w="3246"/>
      <w:gridCol w:w="1689"/>
    </w:tblGrid>
    <w:tr w:rsidR="00A104AA" w:rsidRPr="00305F55" w14:paraId="086F3434" w14:textId="77777777" w:rsidTr="00151277">
      <w:trPr>
        <w:jc w:val="center"/>
      </w:trPr>
      <w:tc>
        <w:tcPr>
          <w:tcW w:w="4989" w:type="dxa"/>
          <w:gridSpan w:val="2"/>
          <w:tcBorders>
            <w:top w:val="nil"/>
            <w:left w:val="nil"/>
            <w:bottom w:val="single" w:sz="4" w:space="0" w:color="000000"/>
            <w:right w:val="nil"/>
          </w:tcBorders>
          <w:vAlign w:val="center"/>
        </w:tcPr>
        <w:p w14:paraId="3D2B5E70" w14:textId="77777777" w:rsidR="00A104AA" w:rsidRPr="00151277" w:rsidRDefault="00A104AA" w:rsidP="00151277">
          <w:pPr>
            <w:spacing w:line="276" w:lineRule="auto"/>
            <w:rPr>
              <w:rFonts w:ascii="幼圆" w:eastAsia="幼圆"/>
              <w:b/>
              <w:sz w:val="28"/>
              <w:szCs w:val="28"/>
            </w:rPr>
          </w:pPr>
          <w:r w:rsidRPr="00151277">
            <w:rPr>
              <w:rFonts w:ascii="幼圆" w:eastAsia="幼圆"/>
              <w:b/>
              <w:noProof/>
              <w:sz w:val="28"/>
              <w:szCs w:val="28"/>
            </w:rPr>
            <w:drawing>
              <wp:inline distT="0" distB="0" distL="0" distR="0" wp14:anchorId="1508C109" wp14:editId="0BE22F12">
                <wp:extent cx="1259205" cy="267335"/>
                <wp:effectExtent l="0" t="0" r="0" b="0"/>
                <wp:docPr id="1" name="图片 0" descr="天士力研究院新LOGO 横.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天士力研究院新LOGO 横.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9205" cy="267335"/>
                        </a:xfrm>
                        <a:prstGeom prst="rect">
                          <a:avLst/>
                        </a:prstGeom>
                        <a:noFill/>
                        <a:ln>
                          <a:noFill/>
                        </a:ln>
                      </pic:spPr>
                    </pic:pic>
                  </a:graphicData>
                </a:graphic>
              </wp:inline>
            </w:drawing>
          </w:r>
        </w:p>
      </w:tc>
      <w:tc>
        <w:tcPr>
          <w:tcW w:w="4935" w:type="dxa"/>
          <w:gridSpan w:val="2"/>
          <w:tcBorders>
            <w:top w:val="nil"/>
            <w:left w:val="nil"/>
            <w:bottom w:val="single" w:sz="4" w:space="0" w:color="000000"/>
            <w:right w:val="nil"/>
          </w:tcBorders>
          <w:vAlign w:val="bottom"/>
        </w:tcPr>
        <w:p w14:paraId="43D2C8D4" w14:textId="77777777" w:rsidR="00A104AA" w:rsidRPr="00151277" w:rsidRDefault="00A104AA" w:rsidP="00151277">
          <w:pPr>
            <w:spacing w:line="276" w:lineRule="auto"/>
            <w:jc w:val="right"/>
            <w:rPr>
              <w:rFonts w:ascii="Calibri" w:eastAsia="幼圆" w:hAnsi="Calibri"/>
              <w:b/>
              <w:szCs w:val="21"/>
            </w:rPr>
          </w:pPr>
          <w:r w:rsidRPr="00151277">
            <w:rPr>
              <w:rFonts w:ascii="Calibri" w:hAnsi="Calibri"/>
              <w:i/>
              <w:szCs w:val="21"/>
            </w:rPr>
            <w:t xml:space="preserve">Confidential Document </w:t>
          </w:r>
          <w:r>
            <w:rPr>
              <w:rFonts w:ascii="Calibri" w:hAnsi="Calibri" w:hint="eastAsia"/>
              <w:i/>
              <w:szCs w:val="21"/>
            </w:rPr>
            <w:t>C</w:t>
          </w:r>
          <w:r w:rsidRPr="00151277">
            <w:rPr>
              <w:rFonts w:ascii="Calibri" w:hAnsi="Calibri"/>
              <w:i/>
              <w:szCs w:val="21"/>
            </w:rPr>
            <w:t xml:space="preserve">  </w:t>
          </w:r>
          <w:r w:rsidRPr="00151277">
            <w:rPr>
              <w:rFonts w:ascii="幼圆" w:eastAsia="幼圆" w:hAnsi="Calibri" w:hint="eastAsia"/>
              <w:i/>
              <w:szCs w:val="21"/>
            </w:rPr>
            <w:t>秘密</w:t>
          </w:r>
          <w:r>
            <w:rPr>
              <w:rFonts w:ascii="Calibri" w:hAnsi="Calibri" w:hint="eastAsia"/>
              <w:i/>
              <w:szCs w:val="21"/>
            </w:rPr>
            <w:t>C</w:t>
          </w:r>
          <w:r w:rsidRPr="00151277">
            <w:rPr>
              <w:rFonts w:ascii="Calibri" w:hAnsi="Calibri"/>
              <w:i/>
              <w:szCs w:val="21"/>
            </w:rPr>
            <w:t xml:space="preserve"> </w:t>
          </w:r>
        </w:p>
      </w:tc>
    </w:tr>
    <w:tr w:rsidR="00A104AA" w14:paraId="271DC9B0" w14:textId="77777777" w:rsidTr="00151277">
      <w:trPr>
        <w:trHeight w:val="567"/>
        <w:jc w:val="center"/>
      </w:trPr>
      <w:tc>
        <w:tcPr>
          <w:tcW w:w="1770" w:type="dxa"/>
          <w:vMerge w:val="restart"/>
          <w:tcBorders>
            <w:top w:val="single" w:sz="4" w:space="0" w:color="000000"/>
            <w:left w:val="nil"/>
            <w:bottom w:val="nil"/>
            <w:right w:val="nil"/>
          </w:tcBorders>
          <w:vAlign w:val="center"/>
        </w:tcPr>
        <w:p w14:paraId="2D32516F" w14:textId="77777777" w:rsidR="00A104AA" w:rsidRPr="00151277" w:rsidRDefault="00A104AA" w:rsidP="00151277">
          <w:pPr>
            <w:spacing w:line="276" w:lineRule="auto"/>
            <w:jc w:val="center"/>
            <w:rPr>
              <w:rFonts w:ascii="Calibri" w:eastAsia="华文细黑" w:hAnsi="Calibri" w:cs="Arial"/>
              <w:b/>
              <w:bCs/>
              <w:i/>
              <w:color w:val="808080"/>
              <w:szCs w:val="21"/>
            </w:rPr>
          </w:pPr>
          <w:r w:rsidRPr="00151277">
            <w:rPr>
              <w:rFonts w:ascii="Calibri" w:eastAsia="华文细黑" w:hAnsi="Calibri" w:cs="Arial"/>
              <w:b/>
              <w:bCs/>
              <w:i/>
              <w:color w:val="808080"/>
              <w:szCs w:val="21"/>
            </w:rPr>
            <w:t>TA-</w:t>
          </w:r>
          <w:r>
            <w:rPr>
              <w:rFonts w:ascii="Calibri" w:eastAsia="华文细黑" w:hAnsi="Calibri" w:cs="Arial"/>
              <w:b/>
              <w:bCs/>
              <w:i/>
              <w:color w:val="808080"/>
              <w:szCs w:val="21"/>
            </w:rPr>
            <w:t>CM09-2002.04</w:t>
          </w:r>
        </w:p>
      </w:tc>
      <w:tc>
        <w:tcPr>
          <w:tcW w:w="6465" w:type="dxa"/>
          <w:gridSpan w:val="2"/>
          <w:vMerge w:val="restart"/>
          <w:tcBorders>
            <w:top w:val="single" w:sz="4" w:space="0" w:color="000000"/>
            <w:left w:val="nil"/>
            <w:bottom w:val="nil"/>
            <w:right w:val="nil"/>
          </w:tcBorders>
          <w:vAlign w:val="center"/>
        </w:tcPr>
        <w:p w14:paraId="7E6ADF0B" w14:textId="77777777" w:rsidR="00A104AA" w:rsidRPr="00151277" w:rsidRDefault="00A104AA" w:rsidP="00151277">
          <w:pPr>
            <w:spacing w:line="276" w:lineRule="auto"/>
            <w:jc w:val="center"/>
            <w:rPr>
              <w:rFonts w:ascii="幼圆" w:eastAsia="幼圆"/>
              <w:b/>
              <w:sz w:val="32"/>
              <w:szCs w:val="32"/>
            </w:rPr>
          </w:pPr>
          <w:r>
            <w:rPr>
              <w:rFonts w:ascii="幼圆" w:eastAsia="幼圆" w:hint="eastAsia"/>
              <w:b/>
              <w:sz w:val="32"/>
              <w:szCs w:val="32"/>
            </w:rPr>
            <w:t>临床</w:t>
          </w:r>
          <w:r>
            <w:rPr>
              <w:rFonts w:ascii="幼圆" w:eastAsia="幼圆"/>
              <w:b/>
              <w:sz w:val="32"/>
              <w:szCs w:val="32"/>
            </w:rPr>
            <w:t>试验方案及修订版本清单</w:t>
          </w:r>
        </w:p>
      </w:tc>
      <w:tc>
        <w:tcPr>
          <w:tcW w:w="1689" w:type="dxa"/>
          <w:tcBorders>
            <w:top w:val="single" w:sz="4" w:space="0" w:color="000000"/>
            <w:left w:val="nil"/>
            <w:bottom w:val="nil"/>
            <w:right w:val="nil"/>
          </w:tcBorders>
          <w:vAlign w:val="bottom"/>
        </w:tcPr>
        <w:p w14:paraId="64FBB363" w14:textId="77777777" w:rsidR="00A104AA" w:rsidRPr="00151277" w:rsidRDefault="00A104AA" w:rsidP="00151277">
          <w:pPr>
            <w:spacing w:line="276" w:lineRule="auto"/>
            <w:jc w:val="center"/>
            <w:rPr>
              <w:rFonts w:ascii="Calibri" w:eastAsia="华文细黑" w:hAnsi="Calibri" w:cs="Arial"/>
              <w:b/>
              <w:bCs/>
              <w:i/>
              <w:color w:val="808080"/>
              <w:szCs w:val="21"/>
            </w:rPr>
          </w:pPr>
          <w:r w:rsidRPr="00151277">
            <w:rPr>
              <w:rFonts w:ascii="Calibri" w:eastAsia="华文细黑" w:hAnsi="Calibri" w:cs="Arial"/>
              <w:b/>
              <w:bCs/>
              <w:i/>
              <w:color w:val="808080"/>
              <w:szCs w:val="21"/>
            </w:rPr>
            <w:t>Ver. 0</w:t>
          </w:r>
          <w:r>
            <w:rPr>
              <w:rFonts w:ascii="Calibri" w:eastAsia="华文细黑" w:hAnsi="Calibri" w:cs="Arial" w:hint="eastAsia"/>
              <w:b/>
              <w:bCs/>
              <w:i/>
              <w:color w:val="808080"/>
              <w:szCs w:val="21"/>
            </w:rPr>
            <w:t>2</w:t>
          </w:r>
        </w:p>
      </w:tc>
    </w:tr>
    <w:tr w:rsidR="00A104AA" w14:paraId="1B376FDE" w14:textId="77777777" w:rsidTr="00151277">
      <w:trPr>
        <w:trHeight w:val="340"/>
        <w:jc w:val="center"/>
      </w:trPr>
      <w:tc>
        <w:tcPr>
          <w:tcW w:w="1770" w:type="dxa"/>
          <w:vMerge/>
          <w:tcBorders>
            <w:top w:val="nil"/>
            <w:left w:val="nil"/>
            <w:bottom w:val="nil"/>
            <w:right w:val="nil"/>
          </w:tcBorders>
        </w:tcPr>
        <w:p w14:paraId="3CCF2DEB" w14:textId="77777777" w:rsidR="00A104AA" w:rsidRPr="00151277" w:rsidRDefault="00A104AA" w:rsidP="00151277">
          <w:pPr>
            <w:spacing w:line="276" w:lineRule="auto"/>
            <w:jc w:val="center"/>
            <w:rPr>
              <w:rFonts w:ascii="幼圆" w:eastAsia="幼圆"/>
              <w:b/>
              <w:sz w:val="28"/>
              <w:szCs w:val="28"/>
            </w:rPr>
          </w:pPr>
        </w:p>
      </w:tc>
      <w:tc>
        <w:tcPr>
          <w:tcW w:w="6465" w:type="dxa"/>
          <w:gridSpan w:val="2"/>
          <w:vMerge/>
          <w:tcBorders>
            <w:top w:val="nil"/>
            <w:left w:val="nil"/>
            <w:bottom w:val="nil"/>
            <w:right w:val="nil"/>
          </w:tcBorders>
        </w:tcPr>
        <w:p w14:paraId="7321670F" w14:textId="77777777" w:rsidR="00A104AA" w:rsidRPr="00151277" w:rsidRDefault="00A104AA" w:rsidP="00151277">
          <w:pPr>
            <w:spacing w:line="276" w:lineRule="auto"/>
            <w:jc w:val="center"/>
            <w:rPr>
              <w:rFonts w:ascii="幼圆" w:eastAsia="幼圆"/>
              <w:b/>
              <w:sz w:val="28"/>
              <w:szCs w:val="28"/>
            </w:rPr>
          </w:pPr>
        </w:p>
      </w:tc>
      <w:tc>
        <w:tcPr>
          <w:tcW w:w="1689" w:type="dxa"/>
          <w:tcBorders>
            <w:top w:val="nil"/>
            <w:left w:val="nil"/>
            <w:bottom w:val="nil"/>
            <w:right w:val="nil"/>
          </w:tcBorders>
        </w:tcPr>
        <w:p w14:paraId="637BB0B8" w14:textId="77777777" w:rsidR="00A104AA" w:rsidRPr="00151277" w:rsidRDefault="00A104AA" w:rsidP="00151277">
          <w:pPr>
            <w:spacing w:line="276" w:lineRule="auto"/>
            <w:jc w:val="center"/>
            <w:rPr>
              <w:rFonts w:ascii="Calibri" w:eastAsia="华文细黑" w:hAnsi="Calibri" w:cs="Arial"/>
              <w:b/>
              <w:bCs/>
              <w:i/>
              <w:color w:val="808080"/>
              <w:szCs w:val="21"/>
            </w:rPr>
          </w:pPr>
        </w:p>
      </w:tc>
    </w:tr>
  </w:tbl>
  <w:p w14:paraId="38CB5624" w14:textId="77777777" w:rsidR="00A104AA" w:rsidRDefault="00A104AA" w:rsidP="005B791A">
    <w:pPr>
      <w:pStyle w:val="a6"/>
      <w:pBdr>
        <w:bottom w:val="none" w:sz="0" w:space="0" w:color="auto"/>
      </w:pBdr>
      <w:spacing w:line="20" w:lineRule="exact"/>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5"/>
    <w:multiLevelType w:val="multilevel"/>
    <w:tmpl w:val="00000005"/>
    <w:lvl w:ilvl="0">
      <w:start w:val="1"/>
      <w:numFmt w:val="decimal"/>
      <w:lvlText w:val="%1"/>
      <w:lvlJc w:val="right"/>
      <w:pPr>
        <w:tabs>
          <w:tab w:val="num" w:pos="432"/>
        </w:tabs>
        <w:ind w:left="432" w:hanging="144"/>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nsid w:val="3BE158F4"/>
    <w:multiLevelType w:val="hybridMultilevel"/>
    <w:tmpl w:val="81B694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6747602E"/>
    <w:multiLevelType w:val="hybridMultilevel"/>
    <w:tmpl w:val="7666C348"/>
    <w:lvl w:ilvl="0" w:tplc="3D961AD0">
      <w:start w:val="1"/>
      <w:numFmt w:val="bullet"/>
      <w:lvlText w:val=""/>
      <w:lvlJc w:val="left"/>
      <w:pPr>
        <w:tabs>
          <w:tab w:val="num" w:pos="840"/>
        </w:tabs>
        <w:ind w:left="840" w:hanging="420"/>
      </w:pPr>
      <w:rPr>
        <w:rFonts w:ascii="Wingdings" w:hAnsi="Wingdings" w:hint="default"/>
        <w:color w:val="auto"/>
        <w:sz w:val="18"/>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bordersDoNotSurroundHeader/>
  <w:bordersDoNotSurroundFooter/>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F55"/>
    <w:rsid w:val="000415E8"/>
    <w:rsid w:val="00044EA6"/>
    <w:rsid w:val="00083F0D"/>
    <w:rsid w:val="00093E41"/>
    <w:rsid w:val="000B1EE2"/>
    <w:rsid w:val="000B47F6"/>
    <w:rsid w:val="000F31F5"/>
    <w:rsid w:val="001028E0"/>
    <w:rsid w:val="00120C9A"/>
    <w:rsid w:val="00123668"/>
    <w:rsid w:val="001302D4"/>
    <w:rsid w:val="00140EE0"/>
    <w:rsid w:val="00143165"/>
    <w:rsid w:val="00151277"/>
    <w:rsid w:val="00164BEB"/>
    <w:rsid w:val="00170FCA"/>
    <w:rsid w:val="00177C81"/>
    <w:rsid w:val="001A0605"/>
    <w:rsid w:val="001A093B"/>
    <w:rsid w:val="001A1B02"/>
    <w:rsid w:val="001A7754"/>
    <w:rsid w:val="001D14C7"/>
    <w:rsid w:val="001D396B"/>
    <w:rsid w:val="002137E3"/>
    <w:rsid w:val="0024684C"/>
    <w:rsid w:val="00247426"/>
    <w:rsid w:val="00252C82"/>
    <w:rsid w:val="002809F4"/>
    <w:rsid w:val="00284EB9"/>
    <w:rsid w:val="00286A0A"/>
    <w:rsid w:val="002D15D0"/>
    <w:rsid w:val="002E309B"/>
    <w:rsid w:val="002F2B3B"/>
    <w:rsid w:val="002F698E"/>
    <w:rsid w:val="00305F55"/>
    <w:rsid w:val="0032751C"/>
    <w:rsid w:val="00327EDA"/>
    <w:rsid w:val="00341D2E"/>
    <w:rsid w:val="0036088E"/>
    <w:rsid w:val="00365768"/>
    <w:rsid w:val="00380A01"/>
    <w:rsid w:val="003B33D5"/>
    <w:rsid w:val="003B4F04"/>
    <w:rsid w:val="003D623F"/>
    <w:rsid w:val="003D7AF6"/>
    <w:rsid w:val="003E35DD"/>
    <w:rsid w:val="003E479D"/>
    <w:rsid w:val="00420DDB"/>
    <w:rsid w:val="004248ED"/>
    <w:rsid w:val="0045215F"/>
    <w:rsid w:val="004572D7"/>
    <w:rsid w:val="004A4083"/>
    <w:rsid w:val="004C7E01"/>
    <w:rsid w:val="00503AAC"/>
    <w:rsid w:val="00532589"/>
    <w:rsid w:val="00545F22"/>
    <w:rsid w:val="005846A2"/>
    <w:rsid w:val="005A4A52"/>
    <w:rsid w:val="005B240B"/>
    <w:rsid w:val="005B791A"/>
    <w:rsid w:val="005C6B0E"/>
    <w:rsid w:val="005C7E52"/>
    <w:rsid w:val="00601084"/>
    <w:rsid w:val="00622108"/>
    <w:rsid w:val="006436D2"/>
    <w:rsid w:val="0065572A"/>
    <w:rsid w:val="00672DBC"/>
    <w:rsid w:val="006B4BBC"/>
    <w:rsid w:val="006F64E4"/>
    <w:rsid w:val="006F68B3"/>
    <w:rsid w:val="00740FDB"/>
    <w:rsid w:val="00750710"/>
    <w:rsid w:val="0077050D"/>
    <w:rsid w:val="007726F9"/>
    <w:rsid w:val="0077574C"/>
    <w:rsid w:val="00796540"/>
    <w:rsid w:val="007C0C2F"/>
    <w:rsid w:val="008111D8"/>
    <w:rsid w:val="00811927"/>
    <w:rsid w:val="00840C2F"/>
    <w:rsid w:val="0084657F"/>
    <w:rsid w:val="008540D9"/>
    <w:rsid w:val="00897C85"/>
    <w:rsid w:val="008A7DCF"/>
    <w:rsid w:val="008B2DDC"/>
    <w:rsid w:val="008B7B58"/>
    <w:rsid w:val="008E17D4"/>
    <w:rsid w:val="008E7DE8"/>
    <w:rsid w:val="009074EF"/>
    <w:rsid w:val="00924F73"/>
    <w:rsid w:val="0093192D"/>
    <w:rsid w:val="00944BC0"/>
    <w:rsid w:val="00990E0A"/>
    <w:rsid w:val="009A2410"/>
    <w:rsid w:val="009F3108"/>
    <w:rsid w:val="00A0049F"/>
    <w:rsid w:val="00A104AA"/>
    <w:rsid w:val="00A42EA5"/>
    <w:rsid w:val="00A75398"/>
    <w:rsid w:val="00A81590"/>
    <w:rsid w:val="00A96970"/>
    <w:rsid w:val="00AB4265"/>
    <w:rsid w:val="00AB5DD4"/>
    <w:rsid w:val="00B1647F"/>
    <w:rsid w:val="00B21D67"/>
    <w:rsid w:val="00B27F58"/>
    <w:rsid w:val="00B30256"/>
    <w:rsid w:val="00B87BF8"/>
    <w:rsid w:val="00B979E1"/>
    <w:rsid w:val="00BC43A4"/>
    <w:rsid w:val="00BD5D03"/>
    <w:rsid w:val="00BF0574"/>
    <w:rsid w:val="00C04622"/>
    <w:rsid w:val="00C426BE"/>
    <w:rsid w:val="00C50DB3"/>
    <w:rsid w:val="00C6089E"/>
    <w:rsid w:val="00C76542"/>
    <w:rsid w:val="00C86167"/>
    <w:rsid w:val="00C91CA2"/>
    <w:rsid w:val="00CB1E7C"/>
    <w:rsid w:val="00CC2D81"/>
    <w:rsid w:val="00CF11C2"/>
    <w:rsid w:val="00D17CBB"/>
    <w:rsid w:val="00D40DF1"/>
    <w:rsid w:val="00D449CC"/>
    <w:rsid w:val="00D573E4"/>
    <w:rsid w:val="00D65AE8"/>
    <w:rsid w:val="00D9521A"/>
    <w:rsid w:val="00DA41DA"/>
    <w:rsid w:val="00DB2EDB"/>
    <w:rsid w:val="00DC1DC9"/>
    <w:rsid w:val="00DC37E5"/>
    <w:rsid w:val="00DD3F09"/>
    <w:rsid w:val="00E23B31"/>
    <w:rsid w:val="00E36BA0"/>
    <w:rsid w:val="00E62DD3"/>
    <w:rsid w:val="00E64673"/>
    <w:rsid w:val="00E713EA"/>
    <w:rsid w:val="00E71EB0"/>
    <w:rsid w:val="00EC7232"/>
    <w:rsid w:val="00EE0B17"/>
    <w:rsid w:val="00EF1728"/>
    <w:rsid w:val="00F0420C"/>
    <w:rsid w:val="00F661A5"/>
    <w:rsid w:val="00F77E06"/>
    <w:rsid w:val="00FB4C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BC768"/>
  <w15:chartTrackingRefBased/>
  <w15:docId w15:val="{CA0D6748-512C-4813-B41E-801EEE025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5F55"/>
    <w:pPr>
      <w:widowControl w:val="0"/>
      <w:jc w:val="both"/>
    </w:pPr>
    <w:rPr>
      <w:rFonts w:ascii="Times New Roman" w:hAnsi="Times New Roman"/>
      <w:kern w:val="2"/>
      <w:sz w:val="21"/>
      <w:szCs w:val="24"/>
    </w:rPr>
  </w:style>
  <w:style w:type="paragraph" w:styleId="1">
    <w:name w:val="heading 1"/>
    <w:basedOn w:val="a"/>
    <w:next w:val="a"/>
    <w:link w:val="1Char"/>
    <w:uiPriority w:val="9"/>
    <w:qFormat/>
    <w:rsid w:val="00C76542"/>
    <w:pPr>
      <w:keepNext/>
      <w:keepLines/>
      <w:spacing w:before="340" w:after="330" w:line="578" w:lineRule="auto"/>
      <w:outlineLvl w:val="0"/>
    </w:pPr>
    <w:rPr>
      <w:rFonts w:ascii="Calibri" w:hAnsi="Calibri"/>
      <w:b/>
      <w:bCs/>
      <w:kern w:val="44"/>
      <w:sz w:val="44"/>
      <w:szCs w:val="44"/>
    </w:rPr>
  </w:style>
  <w:style w:type="paragraph" w:styleId="2">
    <w:name w:val="heading 2"/>
    <w:basedOn w:val="a"/>
    <w:next w:val="a"/>
    <w:link w:val="2Char"/>
    <w:uiPriority w:val="9"/>
    <w:unhideWhenUsed/>
    <w:qFormat/>
    <w:rsid w:val="00C76542"/>
    <w:pPr>
      <w:keepNext/>
      <w:keepLines/>
      <w:spacing w:before="260" w:after="260" w:line="416" w:lineRule="auto"/>
      <w:outlineLvl w:val="1"/>
    </w:pPr>
    <w:rPr>
      <w:rFonts w:ascii="Cambria" w:hAnsi="Cambria"/>
      <w:b/>
      <w:bCs/>
      <w:sz w:val="32"/>
      <w:szCs w:val="32"/>
    </w:rPr>
  </w:style>
  <w:style w:type="paragraph" w:styleId="3">
    <w:name w:val="heading 3"/>
    <w:basedOn w:val="a"/>
    <w:next w:val="a"/>
    <w:link w:val="3Char"/>
    <w:uiPriority w:val="9"/>
    <w:unhideWhenUsed/>
    <w:qFormat/>
    <w:rsid w:val="00C76542"/>
    <w:pPr>
      <w:keepNext/>
      <w:keepLines/>
      <w:spacing w:before="260" w:after="260" w:line="416" w:lineRule="auto"/>
      <w:outlineLvl w:val="2"/>
    </w:pPr>
    <w:rPr>
      <w:rFonts w:ascii="Calibri" w:hAnsi="Calibri"/>
      <w:b/>
      <w:bCs/>
      <w:sz w:val="32"/>
      <w:szCs w:val="32"/>
    </w:rPr>
  </w:style>
  <w:style w:type="paragraph" w:styleId="4">
    <w:name w:val="heading 4"/>
    <w:basedOn w:val="a"/>
    <w:next w:val="a"/>
    <w:link w:val="4Char"/>
    <w:uiPriority w:val="9"/>
    <w:unhideWhenUsed/>
    <w:qFormat/>
    <w:rsid w:val="00C76542"/>
    <w:pPr>
      <w:keepNext/>
      <w:keepLines/>
      <w:spacing w:before="280" w:after="290" w:line="376" w:lineRule="auto"/>
      <w:outlineLvl w:val="3"/>
    </w:pPr>
    <w:rPr>
      <w:rFonts w:ascii="Cambria" w:hAnsi="Cambria"/>
      <w:b/>
      <w:bCs/>
      <w:sz w:val="28"/>
      <w:szCs w:val="28"/>
    </w:rPr>
  </w:style>
  <w:style w:type="paragraph" w:styleId="5">
    <w:name w:val="heading 5"/>
    <w:basedOn w:val="a"/>
    <w:next w:val="a"/>
    <w:link w:val="5Char"/>
    <w:uiPriority w:val="9"/>
    <w:unhideWhenUsed/>
    <w:qFormat/>
    <w:rsid w:val="00C76542"/>
    <w:pPr>
      <w:keepNext/>
      <w:keepLines/>
      <w:spacing w:before="280" w:after="290" w:line="376" w:lineRule="auto"/>
      <w:outlineLvl w:val="4"/>
    </w:pPr>
    <w:rPr>
      <w:rFonts w:ascii="Calibri" w:hAnsi="Calibri"/>
      <w:b/>
      <w:bCs/>
      <w:sz w:val="28"/>
      <w:szCs w:val="28"/>
    </w:rPr>
  </w:style>
  <w:style w:type="paragraph" w:styleId="6">
    <w:name w:val="heading 6"/>
    <w:basedOn w:val="a"/>
    <w:next w:val="a"/>
    <w:link w:val="6Char"/>
    <w:uiPriority w:val="9"/>
    <w:unhideWhenUsed/>
    <w:qFormat/>
    <w:rsid w:val="00C76542"/>
    <w:pPr>
      <w:keepNext/>
      <w:keepLines/>
      <w:spacing w:before="240" w:after="64" w:line="320" w:lineRule="auto"/>
      <w:outlineLvl w:val="5"/>
    </w:pPr>
    <w:rPr>
      <w:rFonts w:ascii="Cambria" w:hAnsi="Cambria"/>
      <w:b/>
      <w:bCs/>
      <w:sz w:val="24"/>
    </w:rPr>
  </w:style>
  <w:style w:type="paragraph" w:styleId="7">
    <w:name w:val="heading 7"/>
    <w:basedOn w:val="a"/>
    <w:next w:val="a"/>
    <w:link w:val="7Char"/>
    <w:uiPriority w:val="9"/>
    <w:semiHidden/>
    <w:unhideWhenUsed/>
    <w:qFormat/>
    <w:rsid w:val="00A75398"/>
    <w:pPr>
      <w:keepNext/>
      <w:keepLines/>
      <w:spacing w:before="240" w:after="64" w:line="320" w:lineRule="auto"/>
      <w:outlineLvl w:val="6"/>
    </w:pPr>
    <w:rPr>
      <w:rFonts w:ascii="Calibri" w:hAnsi="Calibri"/>
      <w:b/>
      <w:bCs/>
      <w:sz w:val="24"/>
    </w:rPr>
  </w:style>
  <w:style w:type="paragraph" w:styleId="8">
    <w:name w:val="heading 8"/>
    <w:basedOn w:val="a"/>
    <w:next w:val="a"/>
    <w:link w:val="8Char"/>
    <w:uiPriority w:val="9"/>
    <w:semiHidden/>
    <w:unhideWhenUsed/>
    <w:qFormat/>
    <w:rsid w:val="00A75398"/>
    <w:pPr>
      <w:keepNext/>
      <w:keepLines/>
      <w:spacing w:before="240" w:after="64" w:line="320" w:lineRule="auto"/>
      <w:outlineLvl w:val="7"/>
    </w:pPr>
    <w:rPr>
      <w:rFonts w:ascii="Cambria" w:hAnsi="Cambria"/>
      <w:sz w:val="24"/>
    </w:rPr>
  </w:style>
  <w:style w:type="paragraph" w:styleId="9">
    <w:name w:val="heading 9"/>
    <w:basedOn w:val="a"/>
    <w:next w:val="a"/>
    <w:link w:val="9Char"/>
    <w:uiPriority w:val="9"/>
    <w:semiHidden/>
    <w:unhideWhenUsed/>
    <w:qFormat/>
    <w:rsid w:val="00A75398"/>
    <w:pPr>
      <w:keepNext/>
      <w:keepLines/>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C76542"/>
    <w:rPr>
      <w:b/>
      <w:bCs/>
      <w:kern w:val="44"/>
      <w:sz w:val="44"/>
      <w:szCs w:val="44"/>
    </w:rPr>
  </w:style>
  <w:style w:type="character" w:customStyle="1" w:styleId="2Char">
    <w:name w:val="标题 2 Char"/>
    <w:link w:val="2"/>
    <w:uiPriority w:val="9"/>
    <w:rsid w:val="00C76542"/>
    <w:rPr>
      <w:rFonts w:ascii="Cambria" w:eastAsia="宋体" w:hAnsi="Cambria" w:cs="Times New Roman"/>
      <w:b/>
      <w:bCs/>
      <w:kern w:val="2"/>
      <w:sz w:val="32"/>
      <w:szCs w:val="32"/>
    </w:rPr>
  </w:style>
  <w:style w:type="character" w:customStyle="1" w:styleId="3Char">
    <w:name w:val="标题 3 Char"/>
    <w:link w:val="3"/>
    <w:uiPriority w:val="9"/>
    <w:rsid w:val="00C76542"/>
    <w:rPr>
      <w:b/>
      <w:bCs/>
      <w:kern w:val="2"/>
      <w:sz w:val="32"/>
      <w:szCs w:val="32"/>
    </w:rPr>
  </w:style>
  <w:style w:type="character" w:customStyle="1" w:styleId="4Char">
    <w:name w:val="标题 4 Char"/>
    <w:link w:val="4"/>
    <w:uiPriority w:val="9"/>
    <w:rsid w:val="00C76542"/>
    <w:rPr>
      <w:rFonts w:ascii="Cambria" w:eastAsia="宋体" w:hAnsi="Cambria" w:cs="Times New Roman"/>
      <w:b/>
      <w:bCs/>
      <w:kern w:val="2"/>
      <w:sz w:val="28"/>
      <w:szCs w:val="28"/>
    </w:rPr>
  </w:style>
  <w:style w:type="character" w:customStyle="1" w:styleId="5Char">
    <w:name w:val="标题 5 Char"/>
    <w:link w:val="5"/>
    <w:uiPriority w:val="9"/>
    <w:rsid w:val="00C76542"/>
    <w:rPr>
      <w:b/>
      <w:bCs/>
      <w:kern w:val="2"/>
      <w:sz w:val="28"/>
      <w:szCs w:val="28"/>
    </w:rPr>
  </w:style>
  <w:style w:type="character" w:customStyle="1" w:styleId="6Char">
    <w:name w:val="标题 6 Char"/>
    <w:link w:val="6"/>
    <w:uiPriority w:val="9"/>
    <w:rsid w:val="00C76542"/>
    <w:rPr>
      <w:rFonts w:ascii="Cambria" w:eastAsia="宋体" w:hAnsi="Cambria" w:cs="Times New Roman"/>
      <w:b/>
      <w:bCs/>
      <w:kern w:val="2"/>
      <w:sz w:val="24"/>
      <w:szCs w:val="24"/>
    </w:rPr>
  </w:style>
  <w:style w:type="character" w:customStyle="1" w:styleId="7Char">
    <w:name w:val="标题 7 Char"/>
    <w:link w:val="7"/>
    <w:uiPriority w:val="9"/>
    <w:semiHidden/>
    <w:rsid w:val="00A75398"/>
    <w:rPr>
      <w:b/>
      <w:bCs/>
      <w:kern w:val="2"/>
      <w:sz w:val="24"/>
      <w:szCs w:val="24"/>
    </w:rPr>
  </w:style>
  <w:style w:type="character" w:customStyle="1" w:styleId="8Char">
    <w:name w:val="标题 8 Char"/>
    <w:link w:val="8"/>
    <w:uiPriority w:val="9"/>
    <w:semiHidden/>
    <w:rsid w:val="00A75398"/>
    <w:rPr>
      <w:rFonts w:ascii="Cambria" w:eastAsia="宋体" w:hAnsi="Cambria" w:cs="Times New Roman"/>
      <w:kern w:val="2"/>
      <w:sz w:val="24"/>
      <w:szCs w:val="24"/>
    </w:rPr>
  </w:style>
  <w:style w:type="character" w:customStyle="1" w:styleId="9Char">
    <w:name w:val="标题 9 Char"/>
    <w:link w:val="9"/>
    <w:uiPriority w:val="9"/>
    <w:semiHidden/>
    <w:rsid w:val="00A75398"/>
    <w:rPr>
      <w:rFonts w:ascii="Cambria" w:eastAsia="宋体" w:hAnsi="Cambria" w:cs="Times New Roman"/>
      <w:kern w:val="2"/>
      <w:sz w:val="21"/>
      <w:szCs w:val="21"/>
    </w:rPr>
  </w:style>
  <w:style w:type="paragraph" w:styleId="a3">
    <w:name w:val="caption"/>
    <w:basedOn w:val="a"/>
    <w:next w:val="a"/>
    <w:uiPriority w:val="35"/>
    <w:semiHidden/>
    <w:unhideWhenUsed/>
    <w:qFormat/>
    <w:rsid w:val="00A75398"/>
    <w:rPr>
      <w:rFonts w:ascii="Cambria" w:eastAsia="黑体" w:hAnsi="Cambria"/>
      <w:sz w:val="20"/>
      <w:szCs w:val="20"/>
    </w:rPr>
  </w:style>
  <w:style w:type="paragraph" w:styleId="10">
    <w:name w:val="toc 1"/>
    <w:basedOn w:val="a"/>
    <w:next w:val="a"/>
    <w:autoRedefine/>
    <w:uiPriority w:val="39"/>
    <w:unhideWhenUsed/>
    <w:qFormat/>
    <w:rsid w:val="00C76542"/>
    <w:rPr>
      <w:rFonts w:ascii="Calibri" w:hAnsi="Calibri"/>
      <w:szCs w:val="22"/>
    </w:rPr>
  </w:style>
  <w:style w:type="paragraph" w:styleId="20">
    <w:name w:val="toc 2"/>
    <w:basedOn w:val="a"/>
    <w:next w:val="a"/>
    <w:autoRedefine/>
    <w:uiPriority w:val="39"/>
    <w:unhideWhenUsed/>
    <w:qFormat/>
    <w:rsid w:val="00C76542"/>
    <w:pPr>
      <w:ind w:leftChars="200" w:left="420"/>
    </w:pPr>
    <w:rPr>
      <w:rFonts w:ascii="Calibri" w:hAnsi="Calibri"/>
      <w:szCs w:val="22"/>
    </w:rPr>
  </w:style>
  <w:style w:type="paragraph" w:styleId="30">
    <w:name w:val="toc 3"/>
    <w:basedOn w:val="a"/>
    <w:next w:val="a"/>
    <w:autoRedefine/>
    <w:uiPriority w:val="39"/>
    <w:unhideWhenUsed/>
    <w:qFormat/>
    <w:rsid w:val="00C76542"/>
    <w:pPr>
      <w:ind w:leftChars="400" w:left="840"/>
    </w:pPr>
    <w:rPr>
      <w:rFonts w:ascii="Calibri" w:hAnsi="Calibri"/>
      <w:szCs w:val="22"/>
    </w:rPr>
  </w:style>
  <w:style w:type="character" w:styleId="a4">
    <w:name w:val="Strong"/>
    <w:uiPriority w:val="22"/>
    <w:qFormat/>
    <w:rsid w:val="00C76542"/>
    <w:rPr>
      <w:b/>
      <w:bCs/>
    </w:rPr>
  </w:style>
  <w:style w:type="paragraph" w:styleId="a5">
    <w:name w:val="List Paragraph"/>
    <w:basedOn w:val="a"/>
    <w:uiPriority w:val="34"/>
    <w:qFormat/>
    <w:rsid w:val="00C76542"/>
    <w:pPr>
      <w:ind w:firstLineChars="200" w:firstLine="420"/>
    </w:pPr>
    <w:rPr>
      <w:rFonts w:ascii="Calibri" w:hAnsi="Calibri"/>
      <w:szCs w:val="22"/>
    </w:rPr>
  </w:style>
  <w:style w:type="paragraph" w:styleId="TOC">
    <w:name w:val="TOC Heading"/>
    <w:basedOn w:val="1"/>
    <w:next w:val="a"/>
    <w:uiPriority w:val="39"/>
    <w:semiHidden/>
    <w:unhideWhenUsed/>
    <w:qFormat/>
    <w:rsid w:val="00C76542"/>
    <w:pPr>
      <w:widowControl/>
      <w:spacing w:before="480" w:after="0" w:line="276" w:lineRule="auto"/>
      <w:jc w:val="left"/>
      <w:outlineLvl w:val="9"/>
    </w:pPr>
    <w:rPr>
      <w:rFonts w:ascii="Cambria" w:hAnsi="Cambria"/>
      <w:color w:val="365F91"/>
      <w:kern w:val="0"/>
      <w:sz w:val="28"/>
      <w:szCs w:val="28"/>
    </w:rPr>
  </w:style>
  <w:style w:type="paragraph" w:styleId="a6">
    <w:name w:val="header"/>
    <w:basedOn w:val="a"/>
    <w:link w:val="Char"/>
    <w:uiPriority w:val="99"/>
    <w:unhideWhenUsed/>
    <w:rsid w:val="00305F55"/>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link w:val="a6"/>
    <w:uiPriority w:val="99"/>
    <w:rsid w:val="00305F55"/>
    <w:rPr>
      <w:kern w:val="2"/>
      <w:sz w:val="18"/>
      <w:szCs w:val="18"/>
    </w:rPr>
  </w:style>
  <w:style w:type="paragraph" w:styleId="a7">
    <w:name w:val="footer"/>
    <w:basedOn w:val="a"/>
    <w:link w:val="Char0"/>
    <w:uiPriority w:val="99"/>
    <w:unhideWhenUsed/>
    <w:rsid w:val="00305F55"/>
    <w:pPr>
      <w:tabs>
        <w:tab w:val="center" w:pos="4153"/>
        <w:tab w:val="right" w:pos="8306"/>
      </w:tabs>
      <w:snapToGrid w:val="0"/>
      <w:jc w:val="left"/>
    </w:pPr>
    <w:rPr>
      <w:rFonts w:ascii="Calibri" w:hAnsi="Calibri"/>
      <w:sz w:val="18"/>
      <w:szCs w:val="18"/>
    </w:rPr>
  </w:style>
  <w:style w:type="character" w:customStyle="1" w:styleId="Char0">
    <w:name w:val="页脚 Char"/>
    <w:link w:val="a7"/>
    <w:uiPriority w:val="99"/>
    <w:rsid w:val="00305F55"/>
    <w:rPr>
      <w:kern w:val="2"/>
      <w:sz w:val="18"/>
      <w:szCs w:val="18"/>
    </w:rPr>
  </w:style>
  <w:style w:type="table" w:styleId="a8">
    <w:name w:val="Table Grid"/>
    <w:basedOn w:val="a1"/>
    <w:rsid w:val="00305F55"/>
    <w:rPr>
      <w:rFonts w:ascii="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9">
    <w:name w:val="Balloon Text"/>
    <w:basedOn w:val="a"/>
    <w:link w:val="Char1"/>
    <w:uiPriority w:val="99"/>
    <w:semiHidden/>
    <w:unhideWhenUsed/>
    <w:rsid w:val="00305F55"/>
    <w:rPr>
      <w:sz w:val="18"/>
      <w:szCs w:val="18"/>
    </w:rPr>
  </w:style>
  <w:style w:type="character" w:customStyle="1" w:styleId="Char1">
    <w:name w:val="批注框文本 Char"/>
    <w:link w:val="a9"/>
    <w:uiPriority w:val="99"/>
    <w:semiHidden/>
    <w:rsid w:val="00305F55"/>
    <w:rPr>
      <w:rFonts w:ascii="Times New Roman" w:hAnsi="Times New Roman"/>
      <w:kern w:val="2"/>
      <w:sz w:val="18"/>
      <w:szCs w:val="18"/>
    </w:rPr>
  </w:style>
  <w:style w:type="paragraph" w:customStyle="1" w:styleId="Headline">
    <w:name w:val="Headline"/>
    <w:basedOn w:val="a"/>
    <w:uiPriority w:val="99"/>
    <w:rsid w:val="00B87BF8"/>
    <w:pPr>
      <w:widowControl/>
      <w:tabs>
        <w:tab w:val="center" w:pos="4320"/>
        <w:tab w:val="right" w:pos="8640"/>
      </w:tabs>
      <w:ind w:left="900"/>
      <w:jc w:val="left"/>
    </w:pPr>
    <w:rPr>
      <w:rFonts w:ascii="Arial" w:hAnsi="Arial"/>
      <w:b/>
      <w:kern w:val="0"/>
      <w:sz w:val="32"/>
      <w:szCs w:val="20"/>
      <w:lang w:eastAsia="en-US"/>
    </w:rPr>
  </w:style>
  <w:style w:type="character" w:styleId="aa">
    <w:name w:val="annotation reference"/>
    <w:uiPriority w:val="99"/>
    <w:rsid w:val="009A2410"/>
    <w:rPr>
      <w:sz w:val="21"/>
      <w:szCs w:val="21"/>
    </w:rPr>
  </w:style>
  <w:style w:type="character" w:customStyle="1" w:styleId="Char2">
    <w:name w:val="批注文字 Char"/>
    <w:link w:val="ab"/>
    <w:uiPriority w:val="99"/>
    <w:qFormat/>
    <w:rsid w:val="009A2410"/>
    <w:rPr>
      <w:kern w:val="2"/>
      <w:sz w:val="21"/>
      <w:szCs w:val="24"/>
    </w:rPr>
  </w:style>
  <w:style w:type="paragraph" w:styleId="ab">
    <w:name w:val="annotation text"/>
    <w:basedOn w:val="a"/>
    <w:link w:val="Char2"/>
    <w:uiPriority w:val="99"/>
    <w:qFormat/>
    <w:rsid w:val="009A2410"/>
    <w:pPr>
      <w:jc w:val="left"/>
    </w:pPr>
    <w:rPr>
      <w:rFonts w:ascii="Calibri" w:hAnsi="Calibri"/>
    </w:rPr>
  </w:style>
  <w:style w:type="character" w:customStyle="1" w:styleId="Char10">
    <w:name w:val="批注文字 Char1"/>
    <w:basedOn w:val="a0"/>
    <w:uiPriority w:val="99"/>
    <w:semiHidden/>
    <w:rsid w:val="009A2410"/>
    <w:rPr>
      <w:rFonts w:ascii="Times New Roman" w:hAnsi="Times New Roman"/>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D6E04-D6B7-44B6-8CF4-789C071550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1</Pages>
  <Words>574</Words>
  <Characters>3278</Characters>
  <Application>Microsoft Office Word</Application>
  <DocSecurity>0</DocSecurity>
  <Lines>27</Lines>
  <Paragraphs>7</Paragraphs>
  <ScaleCrop>false</ScaleCrop>
  <Company>天士力集团</Company>
  <LinksUpToDate>false</LinksUpToDate>
  <CharactersWithSpaces>3845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chenqs</dc:creator>
  <cp:keywords/>
  <dc:description/>
  <cp:lastModifiedBy>李红丽</cp:lastModifiedBy>
  <cp:revision>21</cp:revision>
  <dcterms:created xsi:type="dcterms:W3CDTF">2020-06-16T01:46:00Z</dcterms:created>
  <dcterms:modified xsi:type="dcterms:W3CDTF">2020-07-06T09:05:00Z</dcterms:modified>
</cp:coreProperties>
</file>