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79606">
      <w:pPr>
        <w:pStyle w:val="23"/>
        <w:rPr>
          <w:rFonts w:ascii="Times New Roman" w:hAnsi="Times New Roman"/>
          <w:color w:val="auto"/>
        </w:rPr>
      </w:pPr>
      <w:r>
        <w:rPr>
          <w:rFonts w:ascii="Times New Roman" w:hAnsi="Times New Roman"/>
          <w:color w:val="auto"/>
        </w:rPr>
        <w:t>Article</w:t>
      </w:r>
    </w:p>
    <w:p w14:paraId="70DCC657">
      <w:pPr>
        <w:spacing w:line="240" w:lineRule="auto"/>
        <w:rPr>
          <w:rFonts w:ascii="Times New Roman" w:hAnsi="Times New Roman"/>
          <w:color w:val="auto"/>
          <w:sz w:val="26"/>
          <w:szCs w:val="26"/>
        </w:rPr>
      </w:pPr>
      <w:r>
        <w:rPr>
          <w:rFonts w:ascii="Times New Roman" w:hAnsi="Times New Roman"/>
          <w:color w:val="auto"/>
          <w:sz w:val="26"/>
          <w:szCs w:val="26"/>
        </w:rPr>
        <w:t>Evaluation and Prediction on Total Factor Productivity of Chinese Retail Companies using DEA and Neural Network Models</w:t>
      </w:r>
    </w:p>
    <w:p w14:paraId="2DDD3687">
      <w:pPr>
        <w:pStyle w:val="25"/>
        <w:rPr>
          <w:rFonts w:hint="default" w:ascii="Times New Roman" w:hAnsi="Times New Roman"/>
          <w:color w:val="auto"/>
          <w:lang w:val="en-US"/>
        </w:rPr>
      </w:pPr>
      <w:r>
        <w:rPr>
          <w:rFonts w:ascii="Times New Roman" w:hAnsi="Times New Roman"/>
          <w:color w:val="auto"/>
        </w:rPr>
        <w:t xml:space="preserve">Zhuyuan Li </w:t>
      </w:r>
      <w:r>
        <w:rPr>
          <w:rFonts w:hint="eastAsia" w:ascii="Times New Roman" w:hAnsi="Times New Roman" w:eastAsia="宋体"/>
          <w:color w:val="auto"/>
          <w:vertAlign w:val="superscript"/>
          <w:lang w:val="en-US" w:eastAsia="zh-CN"/>
        </w:rPr>
        <w:t>1</w:t>
      </w:r>
      <w:r>
        <w:t>,</w:t>
      </w:r>
      <w:r>
        <w:rPr>
          <w:rFonts w:hint="eastAsia" w:eastAsia="宋体"/>
          <w:lang w:val="en-US" w:eastAsia="zh-CN"/>
        </w:rPr>
        <w:t xml:space="preserve"> Ting Zhang</w:t>
      </w:r>
      <w:r>
        <w:t xml:space="preserve"> </w:t>
      </w:r>
      <w:r>
        <w:rPr>
          <w:rFonts w:hint="eastAsia" w:eastAsia="宋体"/>
          <w:vertAlign w:val="superscript"/>
          <w:lang w:val="en-US" w:eastAsia="zh-CN"/>
        </w:rPr>
        <w:t>1</w:t>
      </w:r>
      <w:r>
        <w:rPr>
          <w:rFonts w:ascii="Times New Roman" w:hAnsi="Times New Roman"/>
          <w:color w:val="auto"/>
          <w:vertAlign w:val="superscript"/>
        </w:rPr>
        <w:t>,</w:t>
      </w:r>
      <w:r>
        <w:rPr>
          <w:rFonts w:ascii="Times New Roman" w:hAnsi="Times New Roman"/>
          <w:color w:val="auto"/>
        </w:rPr>
        <w:t>*</w:t>
      </w:r>
      <w:r>
        <w:t xml:space="preserve"> ,</w:t>
      </w:r>
      <w:r>
        <w:rPr>
          <w:rFonts w:hint="eastAsia" w:eastAsia="宋体"/>
          <w:lang w:val="en-US" w:eastAsia="zh-CN"/>
        </w:rPr>
        <w:t xml:space="preserve"> Yang Chen</w:t>
      </w:r>
      <w:r>
        <w:rPr>
          <w:rFonts w:hint="eastAsia" w:eastAsia="宋体"/>
          <w:vertAlign w:val="superscript"/>
          <w:lang w:val="en-US" w:eastAsia="zh-CN"/>
        </w:rPr>
        <w:t>1</w:t>
      </w:r>
      <w:r>
        <w:t>,</w:t>
      </w:r>
      <w:r>
        <w:rPr>
          <w:rFonts w:hint="eastAsia" w:eastAsia="宋体"/>
          <w:lang w:val="en-US" w:eastAsia="zh-CN"/>
        </w:rPr>
        <w:t xml:space="preserve"> </w:t>
      </w:r>
      <w:r>
        <w:rPr>
          <w:rFonts w:ascii="Times New Roman" w:hAnsi="Times New Roman"/>
          <w:color w:val="auto"/>
        </w:rPr>
        <w:t xml:space="preserve">Run Zheng </w:t>
      </w:r>
      <w:r>
        <w:rPr>
          <w:rFonts w:hint="eastAsia" w:ascii="Times New Roman" w:hAnsi="Times New Roman" w:eastAsia="宋体"/>
          <w:color w:val="auto"/>
          <w:vertAlign w:val="superscript"/>
          <w:lang w:val="en-US" w:eastAsia="zh-CN"/>
        </w:rPr>
        <w:t>2</w:t>
      </w:r>
    </w:p>
    <w:p w14:paraId="00254312">
      <w:pPr>
        <w:pStyle w:val="27"/>
        <w:keepNext w:val="0"/>
        <w:keepLines w:val="0"/>
        <w:pageBreakBefore w:val="0"/>
        <w:widowControl/>
        <w:kinsoku/>
        <w:wordWrap/>
        <w:overflowPunct/>
        <w:topLinePunct w:val="0"/>
        <w:autoSpaceDE/>
        <w:autoSpaceDN/>
        <w:bidi w:val="0"/>
        <w:adjustRightInd w:val="0"/>
        <w:snapToGrid w:val="0"/>
        <w:ind w:left="198" w:hanging="198"/>
        <w:textAlignment w:val="auto"/>
        <w:rPr>
          <w:rFonts w:hint="default" w:eastAsia="宋体"/>
          <w:lang w:val="en-US" w:eastAsia="zh-CN"/>
        </w:rPr>
      </w:pPr>
      <w:r>
        <w:rPr>
          <w:vertAlign w:val="superscript"/>
        </w:rPr>
        <w:t>1</w:t>
      </w:r>
      <w:r>
        <w:tab/>
      </w:r>
      <w:r>
        <w:rPr>
          <w:rFonts w:hint="eastAsia"/>
        </w:rPr>
        <w:t>School of Agri-business Management</w:t>
      </w:r>
      <w:r>
        <w:rPr>
          <w:rFonts w:hint="eastAsia" w:eastAsia="宋体"/>
          <w:lang w:val="en-US" w:eastAsia="zh-CN"/>
        </w:rPr>
        <w:t>,Jiangsu Agri-animal Husbandry Vocational College, Taizhou, 225300, China;</w:t>
      </w:r>
      <w:r>
        <w:t xml:space="preserve"> </w:t>
      </w:r>
      <w:r>
        <w:rPr>
          <w:rFonts w:hint="eastAsia"/>
        </w:rPr>
        <w:t xml:space="preserve">lzyazr520@163.com </w:t>
      </w:r>
      <w:r>
        <w:rPr>
          <w:rFonts w:hint="eastAsia"/>
          <w:color w:val="auto"/>
          <w:u w:val="none"/>
        </w:rPr>
        <w:t>(Z.L.</w:t>
      </w:r>
      <w:r>
        <w:rPr>
          <w:rFonts w:hint="eastAsia" w:eastAsia="宋体"/>
          <w:color w:val="auto"/>
          <w:u w:val="none"/>
          <w:lang w:val="en-US" w:eastAsia="zh-CN"/>
        </w:rPr>
        <w:t>);</w:t>
      </w:r>
      <w:r>
        <w:rPr>
          <w:rFonts w:hint="eastAsia" w:eastAsia="宋体"/>
          <w:lang w:val="en-US" w:eastAsia="zh-CN"/>
        </w:rPr>
        <w:t xml:space="preserve"> tzhlzt@126.com(T.Z.)</w:t>
      </w:r>
      <w:r>
        <w:rPr>
          <w:rFonts w:hint="eastAsia" w:eastAsia="宋体"/>
          <w:color w:val="auto"/>
          <w:u w:val="none"/>
          <w:lang w:val="en-US" w:eastAsia="zh-CN"/>
        </w:rPr>
        <w:t>; yrccy621@163.com(Y.C.)</w:t>
      </w:r>
    </w:p>
    <w:p w14:paraId="308AC602">
      <w:pPr>
        <w:pStyle w:val="27"/>
        <w:keepNext w:val="0"/>
        <w:keepLines w:val="0"/>
        <w:pageBreakBefore w:val="0"/>
        <w:widowControl/>
        <w:kinsoku/>
        <w:wordWrap/>
        <w:overflowPunct/>
        <w:topLinePunct w:val="0"/>
        <w:autoSpaceDE/>
        <w:autoSpaceDN/>
        <w:bidi w:val="0"/>
        <w:adjustRightInd w:val="0"/>
        <w:snapToGrid w:val="0"/>
        <w:ind w:left="198" w:hanging="198"/>
        <w:textAlignment w:val="auto"/>
        <w:rPr>
          <w:rFonts w:hint="eastAsia" w:eastAsia="宋体"/>
          <w:color w:val="auto"/>
          <w:u w:val="none"/>
          <w:lang w:val="en-US" w:eastAsia="zh-CN"/>
        </w:rPr>
      </w:pPr>
      <w:r>
        <w:rPr>
          <w:vertAlign w:val="superscript"/>
        </w:rPr>
        <w:t>2</w:t>
      </w:r>
      <w:r>
        <w:tab/>
      </w:r>
      <w:r>
        <w:rPr>
          <w:rFonts w:hint="eastAsia"/>
        </w:rPr>
        <w:t>Business School, Jiangsu Open University, Nanjing 210036, China; zhengrun100@163.com (R.Z.)</w:t>
      </w:r>
    </w:p>
    <w:p w14:paraId="5BC1EB4C">
      <w:pPr>
        <w:pStyle w:val="27"/>
        <w:ind w:left="0"/>
        <w:rPr>
          <w:rFonts w:ascii="Times New Roman" w:hAnsi="Times New Roman"/>
          <w:color w:val="auto"/>
        </w:rPr>
      </w:pPr>
      <w:r>
        <w:rPr>
          <w:rFonts w:ascii="Times New Roman" w:hAnsi="Times New Roman"/>
          <w:b/>
          <w:color w:val="auto"/>
        </w:rPr>
        <w:t>*</w:t>
      </w:r>
      <w:r>
        <w:rPr>
          <w:rFonts w:ascii="Times New Roman" w:hAnsi="Times New Roman"/>
          <w:color w:val="auto"/>
        </w:rPr>
        <w:tab/>
      </w:r>
      <w:r>
        <w:rPr>
          <w:rFonts w:ascii="Times New Roman" w:hAnsi="Times New Roman"/>
          <w:color w:val="auto"/>
        </w:rPr>
        <w:t xml:space="preserve">Correspondence: </w:t>
      </w:r>
      <w:r>
        <w:rPr>
          <w:rFonts w:hint="eastAsia" w:eastAsia="宋体"/>
          <w:lang w:val="en-US" w:eastAsia="zh-CN"/>
        </w:rPr>
        <w:t xml:space="preserve">tzhlzt@126.com(T.Z.); </w:t>
      </w:r>
      <w:r>
        <w:rPr>
          <w:rFonts w:hint="eastAsia"/>
        </w:rPr>
        <w:t>+8</w:t>
      </w:r>
      <w:r>
        <w:rPr>
          <w:rFonts w:hint="eastAsia" w:eastAsia="宋体"/>
          <w:lang w:val="en-US" w:eastAsia="zh-CN"/>
        </w:rPr>
        <w:t>6</w:t>
      </w:r>
      <w:r>
        <w:rPr>
          <w:rFonts w:hint="eastAsia"/>
        </w:rPr>
        <w:t>-</w:t>
      </w:r>
      <w:r>
        <w:rPr>
          <w:rFonts w:hint="eastAsia" w:eastAsia="宋体"/>
          <w:lang w:val="en-US" w:eastAsia="zh-CN"/>
        </w:rPr>
        <w:t>13337787698(T.Z.)</w:t>
      </w:r>
    </w:p>
    <w:p w14:paraId="396CA78A">
      <w:pPr>
        <w:pStyle w:val="28"/>
        <w:ind w:left="0"/>
        <w:rPr>
          <w:rFonts w:ascii="Times New Roman" w:hAnsi="Times New Roman"/>
          <w:b w:val="0"/>
          <w:bCs/>
          <w:color w:val="auto"/>
          <w:szCs w:val="18"/>
        </w:rPr>
      </w:pPr>
      <w:r>
        <w:rPr>
          <w:rFonts w:ascii="Times New Roman" w:hAnsi="Times New Roman"/>
          <w:b/>
          <w:color w:val="auto"/>
          <w:szCs w:val="18"/>
        </w:rPr>
        <w:t xml:space="preserve">Abstract: </w:t>
      </w:r>
      <w:r>
        <w:rPr>
          <w:rFonts w:ascii="Times New Roman" w:hAnsi="Times New Roman"/>
          <w:b w:val="0"/>
          <w:bCs/>
          <w:color w:val="auto"/>
          <w:szCs w:val="18"/>
        </w:rPr>
        <w:t>China's retail industry plays a crucial role in stimulating consumption and sustaining economic growth, yet its productivity performance has been significantly influenced by structural transformation, the COVID-19 pandemic, and the post-pandemic recovery. This study evaluates and predicts the total factor productivity (TFP) of Chinese listed retail companies in order to better understand the drivers of productivity change and future development trends. Using panel data of 51 listed retail companies from 2007 to 2025, a three-stage DEA cost-Malmquist index model is employed to measure productivity change while eliminating the influence of environmental factors and statistical noise through stochastic frontier analysis. The model decomposes productivity into several components, including technical efficiency change, technological progress, scale efficiency change, allocative efficiency change, and price effects. Furthermore, two neural network models—radial basis function (RBF) and back-propagation (BP)—are constructed to forecast future productivity trends, and the 2022–2024 forecasted values are validated against actual computed TFP values. The empirical results indicate that the overall TFP of Chinese retail companies shows a fluctuating upward trend during the sample period, with productivity growth mainly driven by scale efficiency improvement and technological progress. However, the analysis also reveals persistent weaknesses in pure technical efficiency. Forecast validation demonstrates that the BP neural network achieves higher predictive accuracy than the RBF model, confirming its reliability for productivity forecasting. The predicted results suggest that retail productivity may experience continued volatility under external shocks and structural adjustments. These findings provide valuable implications for policymakers and retail enterprises seeking to improve operational efficiency and promote sustainable development in the retail sector.</w:t>
      </w:r>
    </w:p>
    <w:p w14:paraId="18642650">
      <w:pPr>
        <w:pStyle w:val="29"/>
        <w:ind w:left="0"/>
        <w:rPr>
          <w:rFonts w:ascii="Times New Roman" w:hAnsi="Times New Roman"/>
          <w:color w:val="auto"/>
          <w:szCs w:val="18"/>
        </w:rPr>
      </w:pPr>
      <w:r>
        <w:rPr>
          <w:rFonts w:ascii="Times New Roman" w:hAnsi="Times New Roman"/>
          <w:b/>
          <w:color w:val="auto"/>
          <w:szCs w:val="18"/>
        </w:rPr>
        <w:t xml:space="preserve">Keywords: </w:t>
      </w:r>
      <w:r>
        <w:rPr>
          <w:rFonts w:hint="eastAsia" w:ascii="Times New Roman" w:hAnsi="Times New Roman"/>
          <w:color w:val="auto"/>
          <w:szCs w:val="18"/>
        </w:rPr>
        <w:t>Total factor productivity (TFP); Retail industry; Three-stage DEA–Malmquist model; Neural networks; Productivity forecasting</w:t>
      </w:r>
    </w:p>
    <w:p w14:paraId="551E81FC">
      <w:pPr>
        <w:pStyle w:val="30"/>
        <w:ind w:left="0"/>
        <w:rPr>
          <w:rFonts w:ascii="Times New Roman" w:hAnsi="Times New Roman" w:cs="Times New Roman"/>
          <w:color w:val="auto"/>
        </w:rPr>
      </w:pPr>
    </w:p>
    <w:p w14:paraId="1A49D657">
      <w:pPr>
        <w:pStyle w:val="50"/>
        <w:ind w:left="0"/>
        <w:rPr>
          <w:rFonts w:ascii="Times New Roman" w:hAnsi="Times New Roman"/>
          <w:color w:val="auto"/>
          <w:lang w:eastAsia="zh-CN"/>
        </w:rPr>
      </w:pPr>
      <w:r>
        <w:rPr>
          <w:rFonts w:ascii="Times New Roman" w:hAnsi="Times New Roman"/>
          <w:color w:val="auto"/>
          <w:lang w:eastAsia="zh-CN"/>
        </w:rPr>
        <w:t>1. Introduction</w:t>
      </w:r>
    </w:p>
    <w:p w14:paraId="2ECE657D">
      <w:pPr>
        <w:pStyle w:val="35"/>
        <w:spacing w:line="360" w:lineRule="auto"/>
        <w:ind w:left="0"/>
        <w:rPr>
          <w:rFonts w:ascii="Times New Roman" w:hAnsi="Times New Roman"/>
          <w:color w:val="auto"/>
        </w:rPr>
      </w:pPr>
      <w:r>
        <w:rPr>
          <w:rFonts w:ascii="Times New Roman" w:hAnsi="Times New Roman"/>
          <w:color w:val="auto"/>
        </w:rPr>
        <w:t>As a pioneer and basic industry of the national economy, the development of the retail industry is crucial to China's economic and social development. Chain Store &amp; Franchise Association, in conjunction with the National Information Center, released the report "Assessment of the Impact of the Retail Industry on China's Economy and Society" pointing out that the added value of China's retail industry exceeds RMB 4 trillion in 2020, ranking eighth among 44 industries, accounting for 4.07% of GDP. The retail industry is the focal point of economic growth driven by consumption, but also absorbs the reservoir of employment. With the development of the retail industry to the huge changes in the lifestyle of our residents, its position in the national economy has also been increasing, playing an important role in driving domestic demand for development. However, some brick-and-mortar retailers have closed some of their stores as a result of the unprecedented disease outbreaks. With the support of the national policy of helping companies to relieve difficulties and the efforts of companies actively seeking innovation and transformation, the development of the retail industry this year still shows an overall positive trend. Data released by the National Bureau of Statistics show that total retail sales of consumer goods from January to November 2025 amounted to 442,700 billion yuan, with an increase of 3.5% year-on-year and a two-year average growth of 4.0%. Meanwhile, the national online retail sales amounted to 1,187.49 billion yuan, up 15.4% year-on-year. The latest data released by Guoyuan Securities shows that the market size of China's retail industry reaches 39.2 trillion yuan and will continue to grow, with the market size expected to reach 52.1 trillion yuan by 2025. As China continues to implement its domestic market expansion strategy and consumer demand gradually recovers in the post-epidemic era, the retail industry faces both new growth opportunities and persistent challenges. After the challenges and shocks of the new crown pneumonia epidemic, how to recover from the spread of COVID-19 pandemic and seize the opportunities is the primary challenge for Chinese retail companies [2]  [1] . Analyzing and deeply understanding the productivity situation of the retail industry plays an important role in specifying more reasonable development strategies and management tactics for Chinese retail companies.</w:t>
      </w:r>
    </w:p>
    <w:p w14:paraId="4EA04A87">
      <w:pPr>
        <w:pStyle w:val="35"/>
        <w:spacing w:line="360" w:lineRule="auto"/>
        <w:ind w:left="0"/>
        <w:rPr>
          <w:rFonts w:ascii="Times New Roman" w:hAnsi="Times New Roman"/>
          <w:color w:val="auto"/>
        </w:rPr>
      </w:pPr>
      <w:r>
        <w:rPr>
          <w:rFonts w:ascii="Times New Roman" w:hAnsi="Times New Roman"/>
          <w:color w:val="auto"/>
        </w:rPr>
        <w:t xml:space="preserve">The retail industry, especially the brick-and-mortar retail industry, is facing risks and challenges from various aspects, such as the continuous rise in operating costs. According to the survey data of key circulation companies of the Ministry of Commerce, 67.1% of the companies said that the high operating costs are mainly from the challenges of labor costs, rental costs, and financing costs. Low cost is always the purpose of excellent operation management for retail companies, most of which carry huge networks of warehouses, distribution, and stores. For retailers, they need to first grasp the real-time supply and demand information of the senodes in order to make optimal allocation and dynamic optimization for global resources. The lack of unified digital planning in the early days of many retail companies has led to different degrees of digitalization in each link, and the data of incoming goods, sales, and inventory cannot flow smoothly among the systems. Improving end-to-end supply chain visibility and reducing supply chain operational costs are core supply chain challenges for retail companies. In addition, many retailers face high store operating expenses and personnel costs, and only by seeking to optimize space efficiency can they seek greater value through limited resources. For the retail industry, category management is also a part of resource allocation, according to the range of customer consumption habits to match the appropriate display and stocking, to achieve space less than the maximum. Technology has always been an enabler of efficiency, and now that forecasting technology has come to the forefront of information technology, the accuracy of forecasting technology plays a key role in the smooth operation of the entire supply chain. Excess inventory not only causes capital tied up but the ongoing warehouse logistics costs and destruction and disposal costs have become a major pain point for retail companies. </w:t>
      </w:r>
    </w:p>
    <w:p w14:paraId="765808A3">
      <w:pPr>
        <w:pStyle w:val="35"/>
        <w:spacing w:line="360" w:lineRule="auto"/>
        <w:ind w:left="0"/>
        <w:rPr>
          <w:rFonts w:ascii="Times New Roman" w:hAnsi="Times New Roman"/>
          <w:color w:val="auto"/>
        </w:rPr>
      </w:pPr>
      <w:r>
        <w:rPr>
          <w:rFonts w:ascii="Times New Roman" w:hAnsi="Times New Roman"/>
          <w:color w:val="auto"/>
        </w:rPr>
        <w:t xml:space="preserve">According to enterprise resource theory, companies obtain resource inputs from outside and then obtain synergistic effects through resource allocation and integration to achieve improved operational efficiency and enterprise value appreciation. While enterprise resource theory is essentially a static view of resources, dynamic capability theory studies how an enterprise should continuously adjust, integrate and reconfigure its internal and external resources in response to changes in the environment to achieve sustainable growth, continuous progress in resource allocation technology and continuous improvement in resource allocative efficiency and operational efficiency from a dynamic perspective. </w:t>
      </w:r>
    </w:p>
    <w:p w14:paraId="29C37D04">
      <w:pPr>
        <w:pStyle w:val="35"/>
        <w:spacing w:line="360" w:lineRule="auto"/>
        <w:ind w:left="0"/>
        <w:rPr>
          <w:rFonts w:ascii="Times New Roman" w:hAnsi="Times New Roman"/>
          <w:color w:val="auto"/>
        </w:rPr>
      </w:pPr>
      <w:r>
        <w:rPr>
          <w:rFonts w:ascii="Times New Roman" w:hAnsi="Times New Roman"/>
          <w:color w:val="auto"/>
        </w:rPr>
        <w:t>Retail companies are multi-input, multi-output for-profit organizations. In order to effectively conduct a comprehensive and objective efficiency evaluation of the retail industry, it is crucial to select a suitable multi-attribute comprehensive evaluation technique. The DEA method is considered by many scholars as a non-parametric method to evaluate the operational efficiency of a group of organizations with the same structure. Existing studies on retail productivity range from industry-wide ; [12]  [3] (Sellers‐Rubio and Mas‐Ruiz, 2006) to store-level based [4] (Manuel Xavier et al., 2015). The literature evaluated cost efficiency [5] (Ratchford, 2003), economic efficiency [6]  (Gandhi and Shankar, 2014), technical efficiency [7,8,9] (Barros and Alves, 2003; Perrigot and Barros, 2008; Thomas et al., 1998), and scale efficiency [10,11] (Keh and Chu, 2003; Pestana Barros and Alves, 2003). However, most studies only focus on the measurement and evaluation of technical efficiency and scale efficiency, equating retail value-added efficiency with production efficiency, ignoring the efficiency loss arising from the constrained factor allocation that prevents capital and labor from being fully remunerated according to their marginal output. And our research on the retail industry has backwardness, and the latest research data on there tail industry is currently only up to 2025, and there is almost no research assessing the retail companies COVID-19 response performance.</w:t>
      </w:r>
    </w:p>
    <w:p w14:paraId="3D3D3AD6">
      <w:pPr>
        <w:pStyle w:val="35"/>
        <w:spacing w:line="360" w:lineRule="auto"/>
        <w:ind w:left="0"/>
        <w:rPr>
          <w:rFonts w:ascii="Times New Roman" w:hAnsi="Times New Roman"/>
          <w:color w:val="auto"/>
        </w:rPr>
      </w:pPr>
      <w:r>
        <w:rPr>
          <w:rFonts w:ascii="Times New Roman" w:hAnsi="Times New Roman"/>
          <w:color w:val="auto"/>
        </w:rPr>
        <w:t>In view of the real development of the retail industry and the state of theoretical research, the main objectives of this study are as follows: (1) Identify the current state of development and theoretical research in China's retail industry; (2) Establishing a suitable measurement model based on the current development of the retail industry; (3) As a supplement to the DEA evaluation model, this article proposes a forecasting model suitable for China's retail industry; (4) Based on the evaluation and prediction results, this paper proposes industry-level policy recommendations and enterprise-level management recommendations.</w:t>
      </w:r>
    </w:p>
    <w:p w14:paraId="7147102D">
      <w:pPr>
        <w:pStyle w:val="35"/>
        <w:spacing w:line="360" w:lineRule="auto"/>
        <w:ind w:left="0"/>
        <w:rPr>
          <w:rFonts w:ascii="Times New Roman" w:hAnsi="Times New Roman"/>
          <w:color w:val="auto"/>
        </w:rPr>
      </w:pPr>
      <w:r>
        <w:rPr>
          <w:rFonts w:ascii="Times New Roman" w:hAnsi="Times New Roman"/>
          <w:color w:val="auto"/>
        </w:rPr>
        <w:t>The evaluation results of this study show that the TFP of overall sample retail companies in China is increasing from 2007 to 2025, with the growth mainly coming from technological progress and scale efficiency. For the prediction of MI index, the two neural network models selected in this paper predict that the MI index will be less than 1 in the next three years (2026-2028). However, the more accurate BP model predicts that the MI value in 2026 and 2028 may be less than 0.6, which means that the overall productivity will continue to decline in the next three years (2026-2028) and is likely to decline significantly in 2022 and 2024.</w:t>
      </w:r>
    </w:p>
    <w:p w14:paraId="455F730C">
      <w:pPr>
        <w:pStyle w:val="35"/>
        <w:spacing w:line="360" w:lineRule="auto"/>
        <w:ind w:left="0" w:firstLine="0"/>
        <w:rPr>
          <w:rFonts w:ascii="Times New Roman" w:hAnsi="Times New Roman"/>
          <w:color w:val="auto"/>
        </w:rPr>
      </w:pPr>
    </w:p>
    <w:p w14:paraId="2D2B9F25">
      <w:pPr>
        <w:pStyle w:val="50"/>
        <w:spacing w:line="360" w:lineRule="auto"/>
        <w:ind w:left="0"/>
        <w:rPr>
          <w:rFonts w:ascii="Times New Roman" w:hAnsi="Times New Roman"/>
          <w:color w:val="auto"/>
        </w:rPr>
      </w:pPr>
      <w:r>
        <w:rPr>
          <w:rFonts w:ascii="Times New Roman" w:hAnsi="Times New Roman" w:eastAsiaTheme="minorEastAsia"/>
          <w:color w:val="auto"/>
          <w:lang w:eastAsia="zh-CN"/>
        </w:rPr>
        <w:t>2</w:t>
      </w:r>
      <w:r>
        <w:rPr>
          <w:rFonts w:ascii="Times New Roman" w:hAnsi="Times New Roman"/>
          <w:color w:val="auto"/>
          <w:lang w:eastAsia="zh-CN"/>
        </w:rPr>
        <w:t xml:space="preserve">. </w:t>
      </w:r>
      <w:r>
        <w:rPr>
          <w:rFonts w:ascii="Times New Roman" w:hAnsi="Times New Roman"/>
          <w:color w:val="auto"/>
        </w:rPr>
        <w:t>Literature Review</w:t>
      </w:r>
    </w:p>
    <w:p w14:paraId="7D850F53">
      <w:pPr>
        <w:pStyle w:val="35"/>
        <w:spacing w:before="240" w:after="120" w:line="360" w:lineRule="auto"/>
        <w:ind w:left="0" w:firstLine="0"/>
        <w:rPr>
          <w:rFonts w:ascii="Times New Roman" w:hAnsi="Times New Roman"/>
          <w:i/>
          <w:color w:val="auto"/>
        </w:rPr>
      </w:pPr>
      <w:r>
        <w:rPr>
          <w:rFonts w:ascii="Times New Roman" w:hAnsi="Times New Roman" w:eastAsiaTheme="minorEastAsia"/>
          <w:i/>
          <w:color w:val="auto"/>
          <w:lang w:eastAsia="zh-CN"/>
        </w:rPr>
        <w:t xml:space="preserve">2.1. </w:t>
      </w:r>
      <w:r>
        <w:rPr>
          <w:rFonts w:ascii="Times New Roman" w:hAnsi="Times New Roman" w:eastAsiaTheme="minorEastAsia"/>
          <w:b/>
          <w:bCs/>
          <w:color w:val="auto"/>
          <w:kern w:val="2"/>
          <w:sz w:val="21"/>
          <w:szCs w:val="21"/>
          <w:lang w:eastAsia="zh-CN" w:bidi="ar-SA"/>
        </w:rPr>
        <w:t xml:space="preserve"> </w:t>
      </w:r>
      <w:r>
        <w:rPr>
          <w:rFonts w:ascii="Times New Roman" w:hAnsi="Times New Roman"/>
          <w:i/>
          <w:color w:val="auto"/>
        </w:rPr>
        <w:t>Total factor productivity (TFP)</w:t>
      </w:r>
    </w:p>
    <w:p w14:paraId="50E7802C">
      <w:pPr>
        <w:pStyle w:val="35"/>
        <w:spacing w:line="360" w:lineRule="auto"/>
        <w:ind w:left="0"/>
        <w:rPr>
          <w:rFonts w:ascii="Times New Roman" w:hAnsi="Times New Roman"/>
          <w:color w:val="auto"/>
        </w:rPr>
      </w:pPr>
      <w:r>
        <w:rPr>
          <w:rFonts w:ascii="Times New Roman" w:hAnsi="Times New Roman"/>
          <w:color w:val="auto"/>
        </w:rPr>
        <w:t>TFP is relative to SFP, and it belongs to the whole and part relationship with single factor productivity. TFP reflects the overall productivity of the production unit as a whole. In the 1950s, TFP theory was developed by Kuznets, Solow and Kendrick [13,14] (Kalirajan et al. (1996); Nishimizu and Page (1982)).Kendrick (1973) divided the input factors in production into two types, labor and capital (including land), and divided the remuneration for productive services of labor and capital into wages and capital gains (including profit, interest and land rent), and called the ratio of output to the amount of all input factors TFP[15] . TFP is the ratio of total outputs to total inputs, reflecting the efficiency relationship between input and output factors, and the sources of TFP include technological progress, specialization, organizational innovation and production innovation, etc. Using TFP to measure productivity has been one of the main performance measurement methods. Sumanth (1997) provided one of the most extensive covers of TFP literature and methodology[16]. Kong (2007) and Carlaw and Lipsey (2003) provided an exhaustive overview of various methods of measuring TFP and their advantages and disadvantages[17,18] . Del Gatto et al. (2011)[19]  highlighted an econometric approach to measuring TFP, while Helo et al. (2009) developed a taxonomy of productivity measures[20]. At present, TFP has been used in the research of multi-industry productivity, such as national economic development [21](Bollou and Ngwenyama (2008)), supermarkets [3](Sellers‐Rubio and Mas‐Ruiz (2006)), and retail [22,23,24,25,26,27,28,28,29] (de Jorge Moreno (2006); Higón et al. (2010); Gauri (2013); Qiu and Meng (2017), Cox (1948), Konopa (1968), Arndt and Olsen (1975) and Ingene (1985)) are pioneers in development of basic understanding and measurement method for retail productivity, and the major methodological contributions came from Achabal et al. (1984), Bjurek (1996), Kamakura et al. (1996), Reardon et al. (1996), Donthu and Yoo (1998)and Dubelaar et al. (2002)[30,31,32,33,34,35].</w:t>
      </w:r>
    </w:p>
    <w:p w14:paraId="052F7C3D">
      <w:pPr>
        <w:pStyle w:val="35"/>
        <w:spacing w:line="360" w:lineRule="auto"/>
        <w:ind w:left="0"/>
        <w:rPr>
          <w:rFonts w:ascii="Times New Roman" w:hAnsi="Times New Roman"/>
          <w:color w:val="auto"/>
        </w:rPr>
      </w:pPr>
      <w:r>
        <w:rPr>
          <w:rFonts w:ascii="Times New Roman" w:hAnsi="Times New Roman"/>
          <w:color w:val="auto"/>
        </w:rPr>
        <w:t>Over the past few years, researchers have tried to explore trends, correlations and components of retail productivity, in addition to using state-of-the-art methods to measure it. Yu and Ramanathan (2008) measured efficiency of retail companies in the UK retail sector using three different methodologies, including Data Envelope Analysis, Malmquist Productivity Index and Tobit regression[36]. They discussed productivity of workforce, space and logistics in the context of dynamic developments in retail formats. Panigyrakis and Theodoridis (2009) defined various parts of retail productivity such as space productivity, employee productivity[37]. Lei (2013) estimated the TFP of retail listed companies and decomposes it into technical efficiency change and technological progress based on the panel data of 51 Chinese retail listed companies during the 11 years from 2001 to 2011 by using DEA and Malmquist Index[38]. Rouyendegh et al. (2020) proposed an IF-TOPSIS and DEA combination model to evaluate the retail industry productivity performance of six DMUs of a market chain in Turkey[39].</w:t>
      </w:r>
    </w:p>
    <w:p w14:paraId="4FC829B7">
      <w:pPr>
        <w:pStyle w:val="35"/>
        <w:spacing w:before="240" w:after="120" w:line="360" w:lineRule="auto"/>
        <w:ind w:left="0" w:firstLine="0"/>
        <w:rPr>
          <w:rFonts w:ascii="Times New Roman" w:hAnsi="Times New Roman"/>
          <w:i/>
          <w:iCs/>
          <w:color w:val="auto"/>
        </w:rPr>
      </w:pPr>
      <w:r>
        <w:rPr>
          <w:rFonts w:ascii="Times New Roman" w:hAnsi="Times New Roman"/>
          <w:i/>
          <w:iCs/>
          <w:color w:val="auto"/>
        </w:rPr>
        <w:t>2.2.  productivity and efficiency in the retail sector</w:t>
      </w:r>
    </w:p>
    <w:p w14:paraId="5F093A15">
      <w:pPr>
        <w:pStyle w:val="35"/>
        <w:spacing w:line="360" w:lineRule="auto"/>
        <w:ind w:left="0"/>
        <w:rPr>
          <w:rFonts w:ascii="Times New Roman" w:hAnsi="Times New Roman"/>
          <w:color w:val="auto"/>
        </w:rPr>
      </w:pPr>
      <w:r>
        <w:rPr>
          <w:rFonts w:ascii="Times New Roman" w:hAnsi="Times New Roman"/>
          <w:color w:val="auto"/>
        </w:rPr>
        <w:t xml:space="preserve">Retailer is the last stop of the commodity supply chain, and all the upstream suppliers are the participants who add value to the commodity, while the retail customers are the consumers. The retail industry is one of the most important industries in a country and a major source of employment for a country and region. Every time a generational change occurs in the retail industry, it is a revolution, full of innovation and disruption. Right now, China's retail landscape is undergoing its third major shift. The first shift was the rise and expansion of supermarket chains and home appliance retail (2000-2010); the second was e-commerce (2010-2020); and the third is new retail (front-end warehouses, community group buying, membership stores). [41] The market is finite, and the rise of new types of businesses shake up the old ones in every major shift. In the context of the rapid development of new retail and digital transformation, China's retail industry has entered a critical phase of transformation and upgrade. [40]  </w:t>
      </w:r>
    </w:p>
    <w:p w14:paraId="24FEBBFE">
      <w:pPr>
        <w:pStyle w:val="35"/>
        <w:spacing w:line="360" w:lineRule="auto"/>
        <w:ind w:left="0"/>
        <w:rPr>
          <w:rFonts w:ascii="Times New Roman" w:hAnsi="Times New Roman"/>
          <w:color w:val="auto"/>
        </w:rPr>
      </w:pPr>
      <w:r>
        <w:rPr>
          <w:rFonts w:ascii="Times New Roman" w:hAnsi="Times New Roman"/>
          <w:color w:val="auto"/>
        </w:rPr>
        <w:t>In the last two years, some scholars have studied the productivity situation of China's retail industry [42,43,44](Feng W.  (2021); Huang R. (2021); Liang J F (2021)). The productivity and efficiency analysis of the retail industry has become an important research direction [51]  [7](Barros &amp; Alves, 2003). In reviewing the studies on efficiency measurement published in the last few years[10,45,46,47](Gupta and Mittal, 2010; Keh and Chu, 2003; Lei, 2018; Yang, 2020), it is evident that there is a growing number of studies using DEA to evaluate efficiency and productivity in the retail industry [3,6,48,49](Sellers‐Rubio and Mas‐Ruiz (2006); Mostafa (2009); (Gandhi and Shankar, 2014); Gandhi and Shankar (2016)). These literatures have measured cost efficiency[5](Ratchford, 2003), economic efficiency[6](Gandhi and Shankar, 2014), technical efficiency [7,8,9] (Barros and Alves, 2003; Perrigot and Barros, 2008; Thomas et al., 1998) and scale efficiency [10,11](Keh and Chu, 2003; Pestana Barros and Alves, 2003). While studies in earlier years were mainly based on static perspectives [5,7,9,10,34](Barros and Alves, 2003; Donthu and Yoo, 1998; Keh and Chu, 2003; Ratchford, 2003; Thomas et al., 1998), dynamic perspectives have gradually become mainstream in recent years. The Malmquist index is increasingly used in productivity measurement because it better portrays the dynamic changes in relative efficiency [4,50]（Manuel Xavier et al. (2015) ；Sun Y M (2018) ）.</w:t>
      </w:r>
    </w:p>
    <w:p w14:paraId="40A84E36">
      <w:pPr>
        <w:pStyle w:val="35"/>
        <w:spacing w:line="360" w:lineRule="auto"/>
        <w:ind w:left="0"/>
        <w:rPr>
          <w:rFonts w:ascii="Times New Roman" w:hAnsi="Times New Roman"/>
          <w:color w:val="auto"/>
        </w:rPr>
      </w:pPr>
      <w:r>
        <w:rPr>
          <w:rFonts w:ascii="Times New Roman" w:hAnsi="Times New Roman"/>
          <w:color w:val="auto"/>
        </w:rPr>
        <w:t>The use of the multi-stage DEA methods is usually split into two types, one is two-stage DEA, where DEA method is combined with quantile regression method to find out the reasons affecting efficiency after efficiency evaluation, and the other is three-stage, where SFA regression is used to remove the influence of environmental factors and statistical noise, making efficiency evaluation more scientific and objective.</w:t>
      </w:r>
    </w:p>
    <w:p w14:paraId="27430334">
      <w:pPr>
        <w:pStyle w:val="35"/>
        <w:spacing w:before="240" w:after="120" w:line="360" w:lineRule="auto"/>
        <w:ind w:left="0" w:firstLine="0"/>
        <w:rPr>
          <w:rFonts w:ascii="Times New Roman" w:hAnsi="Times New Roman"/>
          <w:b/>
          <w:bCs/>
          <w:i/>
          <w:color w:val="auto"/>
        </w:rPr>
      </w:pPr>
      <w:r>
        <w:rPr>
          <w:rFonts w:ascii="Times New Roman" w:hAnsi="Times New Roman" w:eastAsiaTheme="minorEastAsia"/>
          <w:i/>
          <w:color w:val="auto"/>
          <w:lang w:eastAsia="zh-CN"/>
        </w:rPr>
        <w:t xml:space="preserve">2.3. </w:t>
      </w:r>
      <w:r>
        <w:rPr>
          <w:rFonts w:ascii="Times New Roman" w:hAnsi="Times New Roman" w:eastAsiaTheme="minorEastAsia"/>
          <w:b/>
          <w:bCs/>
          <w:color w:val="auto"/>
          <w:kern w:val="2"/>
          <w:sz w:val="21"/>
          <w:szCs w:val="21"/>
          <w:lang w:eastAsia="zh-CN" w:bidi="ar-SA"/>
        </w:rPr>
        <w:t xml:space="preserve"> </w:t>
      </w:r>
      <w:r>
        <w:rPr>
          <w:rFonts w:ascii="Times New Roman" w:hAnsi="Times New Roman"/>
          <w:i/>
          <w:color w:val="auto"/>
        </w:rPr>
        <w:t>predicting productivity and efficiency</w:t>
      </w:r>
    </w:p>
    <w:p w14:paraId="6DE04773">
      <w:pPr>
        <w:pStyle w:val="35"/>
        <w:spacing w:line="360" w:lineRule="auto"/>
        <w:ind w:left="0"/>
        <w:rPr>
          <w:rFonts w:ascii="Times New Roman" w:hAnsi="Times New Roman"/>
          <w:color w:val="auto"/>
        </w:rPr>
      </w:pPr>
      <w:r>
        <w:rPr>
          <w:rFonts w:ascii="Times New Roman" w:hAnsi="Times New Roman"/>
          <w:color w:val="auto"/>
        </w:rPr>
        <w:t>In recent years, scholars in many fields have dabbled in predictive research, which aims to predict future performance based on the analyzed data. For example, materials science [52,53](Sun et al. (2019)), medicine(Srinivas and Salah, 2021), transportation systems [54,55](Guimarães et al. (2018); Li et al. (2020)), water resources[56] (Molinos-Senante and Maziotis (2022)), energy[57] (Wang et al. (2020)), and commerce [58] (Guo and Li, 2019), etc. As mentioned above, there is a diversity of forecasting methods in predictive research, and each method has its own pros and cons, but all require a large amount of empirical data to support [59] . Predictive research has significant implications for various fields, especially in terms of improving efficiency and optimizing resource allocation.</w:t>
      </w:r>
    </w:p>
    <w:p w14:paraId="6F817FB8">
      <w:pPr>
        <w:pStyle w:val="35"/>
        <w:spacing w:line="360" w:lineRule="auto"/>
        <w:ind w:left="0"/>
        <w:rPr>
          <w:rFonts w:ascii="Times New Roman" w:hAnsi="Times New Roman"/>
          <w:color w:val="auto"/>
        </w:rPr>
      </w:pPr>
      <w:r>
        <w:rPr>
          <w:rFonts w:ascii="Times New Roman" w:hAnsi="Times New Roman"/>
          <w:color w:val="auto"/>
        </w:rPr>
        <w:t>The research on the prediction of productivity and efficiency is a field that have recently been received a high interest from the researchers in recent years. In the current market economy, it is important to evaluate and forecast the situation and business performance of companies to provide the necessary information for managers to plan for future use of resources. Li et al. (2020) used the data DEA to evaluate the business efficiency of the companies in the years 2014–2017 and Grey system theory to forecast business results and their future use during the period of 2018–2021[55]. Their research showed that companies use their business resources effectively and as expected, and that these companies will continue to thrive in the future. This study provides a method to measure, evaluate, and forecast the business performance of the logistics companies. Support Vector Machines are predictive techniques that have been receiving increased attention from different research communities. Based on the panel data from 2009 to 2018 of 50 listed petroleum companies in China, Lu et al. (2020) evaluated the change of TFP by combining a three-stage DEA model, Pearson Epsilon-based Measure distance function and the Malmquist index[60]. The Support Vector Regression model and Radial Basis Function neural network model were conducted to predict TFP in the future. It was found that Radial Basis Function neural network model had a better performance of prediction on TFP.</w:t>
      </w:r>
    </w:p>
    <w:p w14:paraId="160A0AD4">
      <w:pPr>
        <w:pStyle w:val="50"/>
        <w:spacing w:line="360" w:lineRule="auto"/>
        <w:ind w:left="0"/>
        <w:rPr>
          <w:rFonts w:ascii="Times New Roman" w:hAnsi="Times New Roman"/>
          <w:color w:val="auto"/>
        </w:rPr>
      </w:pPr>
      <w:r>
        <w:rPr>
          <w:rFonts w:ascii="Times New Roman" w:hAnsi="Times New Roman"/>
          <w:color w:val="auto"/>
        </w:rPr>
        <w:t>3. Research Methods</w:t>
      </w:r>
    </w:p>
    <w:p w14:paraId="3AECFCF4">
      <w:pPr>
        <w:pStyle w:val="50"/>
        <w:spacing w:line="360" w:lineRule="auto"/>
        <w:ind w:left="0"/>
        <w:rPr>
          <w:rFonts w:ascii="Times New Roman" w:hAnsi="Times New Roman"/>
          <w:b w:val="0"/>
          <w:i/>
          <w:color w:val="auto"/>
        </w:rPr>
      </w:pPr>
      <w:r>
        <w:rPr>
          <w:rFonts w:ascii="Times New Roman" w:hAnsi="Times New Roman" w:eastAsiaTheme="minorEastAsia"/>
          <w:b w:val="0"/>
          <w:i/>
          <w:color w:val="auto"/>
          <w:lang w:eastAsia="zh-CN"/>
        </w:rPr>
        <w:t xml:space="preserve">3.1 </w:t>
      </w:r>
      <w:r>
        <w:rPr>
          <w:rFonts w:ascii="Times New Roman" w:hAnsi="Times New Roman"/>
          <w:b w:val="0"/>
          <w:i/>
          <w:color w:val="auto"/>
        </w:rPr>
        <w:t>Three- stage Malmquist index model</w:t>
      </w:r>
    </w:p>
    <w:p w14:paraId="3F2A47E0">
      <w:pPr>
        <w:pStyle w:val="35"/>
        <w:spacing w:line="360" w:lineRule="auto"/>
        <w:ind w:left="0"/>
        <w:rPr>
          <w:rFonts w:ascii="Times New Roman" w:hAnsi="Times New Roman"/>
          <w:color w:val="auto"/>
        </w:rPr>
      </w:pPr>
      <w:r>
        <w:rPr>
          <w:rFonts w:ascii="Times New Roman" w:hAnsi="Times New Roman"/>
          <w:color w:val="auto"/>
        </w:rPr>
        <w:t>The three-stage DEA method is a nonparametric approach to calculate efficiency by combining the traditional DEA model with a stochastic frontier analysis (SFA) [61,62](Charnes et al., 1978) (Banker et al., 1984). Based on the traditional DEA method, Fried et al. (2002) removed the influence of environ-mental factors and statistical noise to make their measured results more objective and accurate[63].</w:t>
      </w:r>
    </w:p>
    <w:p w14:paraId="281D6B43">
      <w:pPr>
        <w:pStyle w:val="50"/>
        <w:spacing w:line="360" w:lineRule="auto"/>
        <w:ind w:left="0"/>
        <w:rPr>
          <w:rFonts w:ascii="Times New Roman" w:hAnsi="Times New Roman" w:eastAsiaTheme="minorEastAsia"/>
          <w:b w:val="0"/>
          <w:i/>
          <w:color w:val="auto"/>
          <w:lang w:eastAsia="zh-CN"/>
        </w:rPr>
      </w:pPr>
      <w:r>
        <w:rPr>
          <w:rFonts w:ascii="Times New Roman" w:hAnsi="Times New Roman" w:eastAsiaTheme="minorEastAsia"/>
          <w:b w:val="0"/>
          <w:i/>
          <w:color w:val="auto"/>
          <w:lang w:eastAsia="zh-CN"/>
        </w:rPr>
        <w:t xml:space="preserve">3.1.1 The first stage: Traditional </w:t>
      </w:r>
      <w:r>
        <w:rPr>
          <w:rFonts w:ascii="Times New Roman" w:hAnsi="Times New Roman"/>
          <w:b w:val="0"/>
          <w:bCs/>
          <w:i/>
          <w:iCs/>
          <w:color w:val="auto"/>
        </w:rPr>
        <w:t>cost</w:t>
      </w:r>
      <w:r>
        <w:rPr>
          <w:rFonts w:ascii="Times New Roman" w:hAnsi="Times New Roman" w:eastAsiaTheme="minorEastAsia"/>
          <w:b w:val="0"/>
          <w:i/>
          <w:color w:val="auto"/>
          <w:lang w:eastAsia="zh-CN"/>
        </w:rPr>
        <w:t xml:space="preserve"> malmquist index</w:t>
      </w:r>
    </w:p>
    <w:p w14:paraId="47ABE313">
      <w:pPr>
        <w:pStyle w:val="35"/>
        <w:spacing w:line="360" w:lineRule="auto"/>
        <w:ind w:left="0"/>
        <w:rPr>
          <w:rFonts w:ascii="Times New Roman" w:hAnsi="Times New Roman"/>
          <w:color w:val="auto"/>
        </w:rPr>
      </w:pPr>
      <w:r>
        <w:rPr>
          <w:rFonts w:ascii="Times New Roman" w:hAnsi="Times New Roman"/>
          <w:color w:val="auto"/>
        </w:rPr>
        <w:t>Fried et al. (2002) first combined the Malmquist index with DEA to construct the DEA-Malmquist index, which is applied widely to calculate productivity[63]. In order to compare the TFP changes of each company during the examined period, this paper uses the global frontier covariance Malmquist model, which is a Malmquist index calculation method proposed by Pastor and Lovell (2005)[64]. The Malmquist index can be decomposed into technical efficiency change (EC), which reflects the extent to which the DMU catches up with the production frontier from period to period , and technical change (TC), which captures the extent to which the production frontier moves from period t to period t+1. The formula is as follows:</w:t>
      </w:r>
    </w:p>
    <w:p w14:paraId="080AF179">
      <w:pPr>
        <w:pStyle w:val="35"/>
        <w:spacing w:line="360" w:lineRule="auto"/>
        <w:ind w:left="0" w:firstLine="0"/>
        <w:jc w:val="center"/>
        <w:rPr>
          <w:rFonts w:ascii="Times New Roman" w:hAnsi="Times New Roman"/>
          <w:color w:val="auto"/>
        </w:rPr>
      </w:pPr>
      <w:r>
        <w:rPr>
          <w:rFonts w:ascii="Times New Roman" w:hAnsi="Times New Roman"/>
          <w:color w:val="auto"/>
          <w:position w:val="-24"/>
        </w:rPr>
        <w:object>
          <v:shape id="_x0000_i1025" o:spt="75" type="#_x0000_t75" style="height:30pt;width:459.05pt;" o:ole="t" filled="f" o:preferrelative="t" stroked="f" coordsize="21600,21600">
            <v:path/>
            <v:fill on="f" focussize="0,0"/>
            <v:stroke on="f"/>
            <v:imagedata r:id="rId10" o:title=""/>
            <o:lock v:ext="edit" aspectratio="t"/>
            <w10:wrap type="none"/>
            <w10:anchorlock/>
          </v:shape>
          <o:OLEObject Type="Embed" ProgID="Equation.AxMath" ShapeID="_x0000_i1025" DrawAspect="Content" ObjectID="_1468075725" r:id="rId9">
            <o:LockedField>false</o:LockedField>
          </o:OLEObject>
        </w:object>
      </w:r>
    </w:p>
    <w:p w14:paraId="29B12A9A">
      <w:pPr>
        <w:pStyle w:val="35"/>
        <w:spacing w:line="360" w:lineRule="auto"/>
        <w:ind w:left="0"/>
        <w:rPr>
          <w:rFonts w:ascii="Times New Roman" w:hAnsi="Times New Roman"/>
          <w:color w:val="auto"/>
        </w:rPr>
      </w:pPr>
      <w:r>
        <w:rPr>
          <w:rFonts w:ascii="Times New Roman" w:hAnsi="Times New Roman"/>
          <w:color w:val="auto"/>
        </w:rPr>
        <w:t>The cost Malmquist index measures the change over time in cost efficiency. Its specific index form is:</w:t>
      </w:r>
    </w:p>
    <w:p w14:paraId="3BC6CFAD">
      <w:pPr>
        <w:spacing w:line="360" w:lineRule="auto"/>
        <w:jc w:val="center"/>
        <w:rPr>
          <w:rFonts w:ascii="Times New Roman" w:hAnsi="Times New Roman"/>
          <w:color w:val="auto"/>
          <w:position w:val="-25"/>
        </w:rPr>
      </w:pPr>
      <w:r>
        <w:rPr>
          <w:rFonts w:ascii="Times New Roman" w:hAnsi="Times New Roman"/>
          <w:color w:val="auto"/>
          <w:position w:val="-25"/>
        </w:rPr>
        <w:object>
          <v:shape id="_x0000_i1026" o:spt="75" type="#_x0000_t75" style="height:29.25pt;width:317.25pt;" o:ole="t" filled="f" o:preferrelative="t" stroked="f" coordsize="21600,21600">
            <v:path/>
            <v:fill on="f" focussize="0,0"/>
            <v:stroke on="f" joinstyle="miter"/>
            <v:imagedata r:id="rId12" o:title=""/>
            <o:lock v:ext="edit" aspectratio="t"/>
            <w10:wrap type="none"/>
            <w10:anchorlock/>
          </v:shape>
          <o:OLEObject Type="Embed" ProgID="Equation.AxMath" ShapeID="_x0000_i1026" DrawAspect="Content" ObjectID="_1468075726" r:id="rId11">
            <o:LockedField>false</o:LockedField>
          </o:OLEObject>
        </w:object>
      </w:r>
    </w:p>
    <w:p w14:paraId="09B33472">
      <w:pPr>
        <w:spacing w:line="360" w:lineRule="auto"/>
        <w:jc w:val="center"/>
        <w:rPr>
          <w:rFonts w:ascii="Times New Roman" w:hAnsi="Times New Roman"/>
          <w:color w:val="auto"/>
          <w:position w:val="-25"/>
        </w:rPr>
      </w:pPr>
      <w:r>
        <w:rPr>
          <w:rFonts w:ascii="Times New Roman" w:hAnsi="Times New Roman"/>
          <w:color w:val="auto"/>
          <w:position w:val="-25"/>
        </w:rPr>
        <w:object>
          <v:shape id="_x0000_i1027" o:spt="75" type="#_x0000_t75" style="height:29.25pt;width:416.25pt;" o:ole="t" filled="f" o:preferrelative="t" stroked="f" coordsize="21600,21600">
            <v:path/>
            <v:fill on="f" focussize="0,0"/>
            <v:stroke on="f" joinstyle="miter"/>
            <v:imagedata r:id="rId14" o:title=""/>
            <o:lock v:ext="edit" aspectratio="t"/>
            <w10:wrap type="none"/>
            <w10:anchorlock/>
          </v:shape>
          <o:OLEObject Type="Embed" ProgID="Equation.AxMath" ShapeID="_x0000_i1027" DrawAspect="Content" ObjectID="_1468075727" r:id="rId13">
            <o:LockedField>false</o:LockedField>
          </o:OLEObject>
        </w:object>
      </w:r>
    </w:p>
    <w:p w14:paraId="3A8F3D1B">
      <w:pPr>
        <w:pStyle w:val="35"/>
        <w:spacing w:line="360" w:lineRule="auto"/>
        <w:ind w:left="0"/>
        <w:rPr>
          <w:rFonts w:ascii="Times New Roman" w:hAnsi="Times New Roman"/>
          <w:color w:val="auto"/>
        </w:rPr>
      </w:pPr>
      <w:r>
        <w:rPr>
          <w:rFonts w:ascii="Times New Roman" w:hAnsi="Times New Roman"/>
          <w:color w:val="auto"/>
        </w:rPr>
        <w:t>In a similar manner as the Malmquist index, the CM index can be decomposed, Specifically, into overall efficiency change (OEC) and cost-technical change (CTC). Furthermore, both the two components can be decomposed into input quantity and input price components. The overall decomposition of the CM index is as below:</w:t>
      </w:r>
    </w:p>
    <w:p w14:paraId="5AA5FB9E">
      <w:pPr>
        <w:pStyle w:val="35"/>
        <w:spacing w:line="360" w:lineRule="auto"/>
        <w:ind w:left="0"/>
        <w:rPr>
          <w:rFonts w:ascii="Times New Roman" w:hAnsi="Times New Roman"/>
          <w:color w:val="auto"/>
        </w:rPr>
      </w:pPr>
    </w:p>
    <w:p w14:paraId="6C8B617E">
      <w:pPr>
        <w:pStyle w:val="35"/>
        <w:spacing w:line="360" w:lineRule="auto"/>
        <w:ind w:left="0" w:firstLine="0"/>
        <w:rPr>
          <w:rFonts w:ascii="Times New Roman" w:hAnsi="Times New Roman"/>
          <w:color w:val="auto"/>
        </w:rPr>
      </w:pPr>
      <w:bookmarkStart w:id="0" w:name="_Hlk108088672"/>
      <w:r>
        <w:rPr>
          <w:rFonts w:ascii="Times New Roman" w:hAnsi="Times New Roman"/>
          <w:color w:val="auto"/>
        </w:rPr>
        <w:t xml:space="preserve">CM = overall efficiency change (OEC) </w:t>
      </w:r>
      <m:oMath>
        <m:r>
          <m:rPr>
            <m:sty m:val="p"/>
          </m:rPr>
          <w:rPr>
            <w:rFonts w:ascii="Cambria Math" w:hAnsi="Cambria Math"/>
            <w:color w:val="auto"/>
          </w:rPr>
          <m:t xml:space="preserve">× </m:t>
        </m:r>
      </m:oMath>
      <w:r>
        <w:rPr>
          <w:rFonts w:ascii="Times New Roman" w:hAnsi="Times New Roman"/>
          <w:color w:val="auto"/>
        </w:rPr>
        <w:t xml:space="preserve">cost technical change (CTC) = technical efficiency change (TEC) </w:t>
      </w:r>
      <m:oMath>
        <m:r>
          <m:rPr>
            <m:sty m:val="p"/>
          </m:rPr>
          <w:rPr>
            <w:rFonts w:ascii="Cambria Math" w:hAnsi="Cambria Math"/>
            <w:color w:val="auto"/>
          </w:rPr>
          <m:t>×</m:t>
        </m:r>
      </m:oMath>
      <w:r>
        <w:rPr>
          <w:rFonts w:ascii="Times New Roman" w:hAnsi="Times New Roman"/>
          <w:color w:val="auto"/>
        </w:rPr>
        <w:t xml:space="preserve"> allocative efficiency change (AEC)</w:t>
      </w:r>
      <m:oMath>
        <m:r>
          <m:rPr>
            <m:sty m:val="p"/>
          </m:rPr>
          <w:rPr>
            <w:rFonts w:hint="default" w:ascii="Cambria Math" w:hAnsi="Cambria Math"/>
          </w:rPr>
          <m:t>×</m:t>
        </m:r>
      </m:oMath>
      <w:r>
        <w:rPr>
          <w:rFonts w:ascii="Times New Roman" w:hAnsi="Times New Roman"/>
          <w:color w:val="auto"/>
        </w:rPr>
        <w:t xml:space="preserve"> technical change (TC) </w:t>
      </w:r>
      <m:oMath>
        <m:r>
          <m:rPr>
            <m:sty m:val="p"/>
          </m:rPr>
          <w:rPr>
            <w:rFonts w:ascii="Cambria Math" w:hAnsi="Cambria Math"/>
            <w:color w:val="auto"/>
          </w:rPr>
          <m:t>×</m:t>
        </m:r>
      </m:oMath>
      <w:r>
        <w:rPr>
          <w:rFonts w:ascii="Times New Roman" w:hAnsi="Times New Roman"/>
          <w:color w:val="auto"/>
        </w:rPr>
        <w:t xml:space="preserve"> price effect (PE) = pure technical efficiency change (PTEC) </w:t>
      </w:r>
      <m:oMath>
        <m:r>
          <m:rPr>
            <m:sty m:val="p"/>
          </m:rPr>
          <w:rPr>
            <w:rFonts w:ascii="Cambria Math" w:hAnsi="Cambria Math"/>
            <w:color w:val="auto"/>
          </w:rPr>
          <m:t>×</m:t>
        </m:r>
      </m:oMath>
      <w:r>
        <w:rPr>
          <w:rFonts w:ascii="Times New Roman" w:hAnsi="Times New Roman"/>
          <w:color w:val="auto"/>
        </w:rPr>
        <w:t xml:space="preserve"> scale efficiency change (SEC)</w:t>
      </w:r>
      <m:oMath>
        <m:r>
          <m:rPr>
            <m:sty m:val="p"/>
          </m:rPr>
          <w:rPr>
            <w:rFonts w:ascii="Cambria Math" w:hAnsi="Cambria Math"/>
            <w:color w:val="auto"/>
          </w:rPr>
          <m:t>×</m:t>
        </m:r>
      </m:oMath>
      <w:r>
        <w:rPr>
          <w:rFonts w:ascii="Times New Roman" w:hAnsi="Times New Roman"/>
          <w:color w:val="auto"/>
        </w:rPr>
        <w:t xml:space="preserve"> allocative efficiency change (AEC) </w:t>
      </w:r>
      <m:oMath>
        <m:r>
          <m:rPr>
            <m:sty m:val="p"/>
          </m:rPr>
          <w:rPr>
            <w:rFonts w:ascii="Cambria Math" w:hAnsi="Cambria Math"/>
            <w:color w:val="auto"/>
          </w:rPr>
          <m:t>×</m:t>
        </m:r>
      </m:oMath>
      <w:r>
        <w:rPr>
          <w:rFonts w:ascii="Times New Roman" w:hAnsi="Times New Roman"/>
          <w:color w:val="auto"/>
        </w:rPr>
        <w:t xml:space="preserve"> technical change (TC) </w:t>
      </w:r>
      <m:oMath>
        <m:r>
          <m:rPr>
            <m:sty m:val="p"/>
          </m:rPr>
          <w:rPr>
            <w:rFonts w:ascii="Cambria Math" w:hAnsi="Cambria Math"/>
            <w:color w:val="auto"/>
          </w:rPr>
          <m:t>×</m:t>
        </m:r>
      </m:oMath>
      <w:r>
        <w:rPr>
          <w:rFonts w:ascii="Times New Roman" w:hAnsi="Times New Roman"/>
          <w:color w:val="auto"/>
        </w:rPr>
        <w:t xml:space="preserve"> price effect (PE)= IM </w:t>
      </w:r>
      <m:oMath>
        <m:r>
          <m:rPr>
            <m:sty m:val="p"/>
          </m:rPr>
          <w:rPr>
            <w:rFonts w:ascii="Cambria Math" w:hAnsi="Cambria Math"/>
            <w:color w:val="auto"/>
          </w:rPr>
          <m:t>×</m:t>
        </m:r>
      </m:oMath>
      <w:r>
        <w:rPr>
          <w:rFonts w:ascii="Times New Roman" w:hAnsi="Times New Roman"/>
          <w:color w:val="auto"/>
        </w:rPr>
        <w:t xml:space="preserve"> allocative efficiency change (AEC) </w:t>
      </w:r>
      <m:oMath>
        <m:r>
          <m:rPr>
            <m:sty m:val="p"/>
          </m:rPr>
          <w:rPr>
            <w:rFonts w:ascii="Cambria Math" w:hAnsi="Cambria Math"/>
            <w:color w:val="auto"/>
          </w:rPr>
          <m:t>×</m:t>
        </m:r>
      </m:oMath>
      <w:r>
        <w:rPr>
          <w:rFonts w:ascii="Times New Roman" w:hAnsi="Times New Roman"/>
          <w:color w:val="auto"/>
        </w:rPr>
        <w:t xml:space="preserve"> price effect (PE)</w:t>
      </w:r>
      <w:bookmarkEnd w:id="0"/>
    </w:p>
    <w:p w14:paraId="096D3EDA">
      <w:pPr>
        <w:pStyle w:val="35"/>
        <w:spacing w:line="360" w:lineRule="auto"/>
        <w:ind w:left="0"/>
        <w:rPr>
          <w:rFonts w:ascii="Times New Roman" w:hAnsi="Times New Roman"/>
          <w:color w:val="auto"/>
        </w:rPr>
      </w:pPr>
      <w:r>
        <w:rPr>
          <w:rFonts w:ascii="Times New Roman" w:hAnsi="Times New Roman"/>
          <w:color w:val="auto"/>
        </w:rPr>
        <w:t>In the terminology of Färe et al. (1985) OEC indicates whether the DMU ‘‘catches up’’ the cost boundary from period to period [65]. CTC measures the shift of the cost boundary evaluated at the input mixes and. AEC reflects the extent to which the DMU ‘‘catches-up’’ with the optimum inputs mix given the input prices in each period. TC reflects the shift of the production boundary between periods t and , evaluated at and . TEC here can also be decomposed into pure technical efficiency change (PTEC) and scale efficiency change (SEC). The numerical values of the decomposition index are interpreted in the same way as the CM index. If the index is greater than 1, it means progress, less than 1 regress, and equal to 1 indicates that performance stayed constant.</w:t>
      </w:r>
    </w:p>
    <w:p w14:paraId="71A57E1F">
      <w:pPr>
        <w:pStyle w:val="50"/>
        <w:spacing w:line="360" w:lineRule="auto"/>
        <w:ind w:left="0"/>
        <w:rPr>
          <w:rFonts w:ascii="Times New Roman" w:hAnsi="Times New Roman"/>
          <w:b w:val="0"/>
          <w:i/>
          <w:color w:val="auto"/>
        </w:rPr>
      </w:pPr>
      <w:r>
        <w:rPr>
          <w:rFonts w:ascii="Times New Roman" w:hAnsi="Times New Roman" w:eastAsiaTheme="minorEastAsia"/>
          <w:b w:val="0"/>
          <w:i/>
          <w:color w:val="auto"/>
          <w:lang w:eastAsia="zh-CN"/>
        </w:rPr>
        <w:t>3.1.2 The second stage:</w:t>
      </w:r>
      <w:r>
        <w:rPr>
          <w:rFonts w:ascii="Times New Roman" w:hAnsi="Times New Roman"/>
          <w:b w:val="0"/>
          <w:i/>
          <w:color w:val="auto"/>
        </w:rPr>
        <w:t xml:space="preserve"> Input adjustment of the SFA model</w:t>
      </w:r>
    </w:p>
    <w:p w14:paraId="343E6114">
      <w:pPr>
        <w:pStyle w:val="35"/>
        <w:spacing w:line="360" w:lineRule="auto"/>
        <w:ind w:left="0"/>
        <w:rPr>
          <w:rFonts w:ascii="Times New Roman" w:hAnsi="Times New Roman"/>
          <w:color w:val="auto"/>
        </w:rPr>
      </w:pPr>
      <w:r>
        <w:rPr>
          <w:rFonts w:ascii="Times New Roman" w:hAnsi="Times New Roman"/>
          <w:color w:val="auto"/>
        </w:rPr>
        <w:t>The method of (Yang &amp; Huang, 2009)above is an excellent contribution, but it did not deal with the external environmental variables and statistical noises. Fried et al. (2002) argued that the slack of inputs or outputs are caused by a combination of management inefficiency, external environmental factors and statistical noise, and that environmental factors and statistical noise must be removed before management efficiency evaluation[63]. The concepts and ideas of stochastic frontier production approach developed by Battese and Coelli (1988) is introduced to build the following equation[66].</w:t>
      </w:r>
    </w:p>
    <w:p w14:paraId="09042487">
      <w:pPr>
        <w:pStyle w:val="89"/>
        <w:spacing w:line="360" w:lineRule="auto"/>
        <w:jc w:val="center"/>
        <w:rPr>
          <w:rFonts w:ascii="Times New Roman" w:hAnsi="Times New Roman"/>
          <w:color w:val="auto"/>
        </w:rPr>
      </w:pPr>
      <w:r>
        <w:rPr>
          <w:rFonts w:ascii="Times New Roman" w:hAnsi="Times New Roman"/>
          <w:color w:val="auto"/>
          <w:position w:val="-10"/>
        </w:rPr>
        <w:object>
          <v:shape id="_x0000_i1028" o:spt="75" type="#_x0000_t75" style="height:15.75pt;width:259.5pt;" o:ole="t" filled="f" o:preferrelative="t" stroked="f" coordsize="21600,21600">
            <v:path/>
            <v:fill on="f" focussize="0,0"/>
            <v:stroke on="f" joinstyle="miter"/>
            <v:imagedata r:id="rId16" o:title=""/>
            <o:lock v:ext="edit" aspectratio="t"/>
            <w10:wrap type="none"/>
            <w10:anchorlock/>
          </v:shape>
          <o:OLEObject Type="Embed" ProgID="Equation.AxMath" ShapeID="_x0000_i1028" DrawAspect="Content" ObjectID="_1468075728" r:id="rId15">
            <o:LockedField>false</o:LockedField>
          </o:OLEObject>
        </w:object>
      </w:r>
    </w:p>
    <w:p w14:paraId="2FCBDACC">
      <w:pPr>
        <w:pStyle w:val="35"/>
        <w:spacing w:line="360" w:lineRule="auto"/>
        <w:ind w:left="0"/>
        <w:rPr>
          <w:rFonts w:ascii="Times New Roman" w:hAnsi="Times New Roman"/>
          <w:color w:val="auto"/>
        </w:rPr>
      </w:pPr>
      <w:r>
        <w:rPr>
          <w:rFonts w:ascii="Times New Roman" w:hAnsi="Times New Roman"/>
          <w:color w:val="auto"/>
          <w:position w:val="-10"/>
        </w:rPr>
        <w:t>= the th input slack of the th DMU; = the exogenous environmental variables;= the exogenous environmental variable unknown parameters; = the statistical noise for the th input on output of the th DMU; = the managerial inefficiency for the th input on output of the th DMU. The purpose of regression analysis is to remove the effects of environmental variables and random errors, adjust all decision units to the equivalent external environmental situation, and obtain the adjusted inputs after separating the environmental factors and random factors obtained[61,67,68](Battese and Broca, 1997; Charnes et al., 1978; Park and Simar, 1994). The adjustment formula is as follows:</w:t>
      </w:r>
      <w:bookmarkStart w:id="1" w:name="_Hlk108125958"/>
      <w:bookmarkEnd w:id="1"/>
    </w:p>
    <w:p w14:paraId="2938E7B9">
      <w:pPr>
        <w:adjustRightInd w:val="0"/>
        <w:snapToGrid w:val="0"/>
        <w:spacing w:line="360" w:lineRule="auto"/>
        <w:ind w:firstLine="425"/>
        <w:jc w:val="center"/>
        <w:rPr>
          <w:rFonts w:ascii="Times New Roman" w:hAnsi="Times New Roman"/>
          <w:color w:val="auto"/>
          <w:szCs w:val="21"/>
        </w:rPr>
      </w:pPr>
      <w:r>
        <w:rPr>
          <w:rFonts w:ascii="Times New Roman" w:hAnsi="Times New Roman"/>
          <w:color w:val="auto"/>
          <w:position w:val="-12"/>
          <w:szCs w:val="21"/>
        </w:rPr>
        <w:object>
          <v:shape id="_x0000_i1029" o:spt="75" type="#_x0000_t75" style="height:18pt;width:339.75pt;" o:ole="t" filled="f" o:preferrelative="t" stroked="f" coordsize="21600,21600">
            <v:path/>
            <v:fill on="f" focussize="0,0"/>
            <v:stroke on="f" joinstyle="miter"/>
            <v:imagedata r:id="rId18" o:title=""/>
            <o:lock v:ext="edit" aspectratio="t"/>
            <w10:wrap type="none"/>
            <w10:anchorlock/>
          </v:shape>
          <o:OLEObject Type="Embed" ProgID="Equation.AxMath" ShapeID="_x0000_i1029" DrawAspect="Content" ObjectID="_1468075729" r:id="rId17">
            <o:LockedField>false</o:LockedField>
          </o:OLEObject>
        </w:object>
      </w:r>
    </w:p>
    <w:p w14:paraId="4DD94F9C">
      <w:pPr>
        <w:pStyle w:val="35"/>
        <w:spacing w:line="360" w:lineRule="auto"/>
        <w:ind w:left="0"/>
        <w:rPr>
          <w:rFonts w:ascii="Times New Roman" w:hAnsi="Times New Roman"/>
          <w:color w:val="auto"/>
        </w:rPr>
      </w:pPr>
      <w:r>
        <w:rPr>
          <w:rFonts w:ascii="Times New Roman" w:hAnsi="Times New Roman"/>
          <w:color w:val="auto"/>
        </w:rPr>
        <w:t xml:space="preserve">Where </w:t>
      </w:r>
      <w:r>
        <w:rPr>
          <w:rFonts w:ascii="Times New Roman" w:hAnsi="Times New Roman"/>
          <w:color w:val="auto"/>
          <w:position w:val="-10"/>
        </w:rPr>
        <w:object>
          <v:shape id="_x0000_i1030" o:spt="75" type="#_x0000_t75" style="height:18pt;width:16.5pt;" o:ole="t" filled="f" o:preferrelative="t" stroked="f" coordsize="21600,21600">
            <v:path/>
            <v:fill on="f" focussize="0,0"/>
            <v:stroke on="f" joinstyle="miter"/>
            <v:imagedata r:id="rId20" o:title=""/>
            <o:lock v:ext="edit" aspectratio="t"/>
            <w10:wrap type="none"/>
            <w10:anchorlock/>
          </v:shape>
          <o:OLEObject Type="Embed" ProgID="Equation.AxMath" ShapeID="_x0000_i1030" DrawAspect="Content" ObjectID="_1468075730" r:id="rId19">
            <o:LockedField>false</o:LockedField>
          </o:OLEObject>
        </w:object>
      </w:r>
      <w:r>
        <w:rPr>
          <w:rFonts w:ascii="Times New Roman" w:hAnsi="Times New Roman"/>
          <w:color w:val="auto"/>
        </w:rPr>
        <w:t xml:space="preserve">is the adjusted input variable; </w:t>
      </w:r>
      <w:r>
        <w:rPr>
          <w:rFonts w:ascii="Times New Roman" w:hAnsi="Times New Roman"/>
          <w:color w:val="auto"/>
          <w:position w:val="-10"/>
        </w:rPr>
        <w:object>
          <v:shape id="_x0000_i1031" o:spt="75" type="#_x0000_t75" style="height:17.25pt;width:16.5pt;" o:ole="t" filled="f" o:preferrelative="t" stroked="f" coordsize="21600,21600">
            <v:path/>
            <v:fill on="f" focussize="0,0"/>
            <v:stroke on="f" joinstyle="miter"/>
            <v:imagedata r:id="rId22" o:title=""/>
            <o:lock v:ext="edit" aspectratio="t"/>
            <w10:wrap type="none"/>
            <w10:anchorlock/>
          </v:shape>
          <o:OLEObject Type="Embed" ProgID="Equation.AxMath" ShapeID="_x0000_i1031" DrawAspect="Content" ObjectID="_1468075731" r:id="rId21">
            <o:LockedField>false</o:LockedField>
          </o:OLEObject>
        </w:object>
      </w:r>
      <w:r>
        <w:rPr>
          <w:rFonts w:ascii="Times New Roman" w:hAnsi="Times New Roman"/>
          <w:color w:val="auto"/>
        </w:rPr>
        <w:t xml:space="preserve"> is the input variable before the adjustment; </w:t>
      </w:r>
      <w:r>
        <w:rPr>
          <w:rFonts w:ascii="Times New Roman" w:hAnsi="Times New Roman"/>
          <w:color w:val="auto"/>
          <w:position w:val="-12"/>
        </w:rPr>
        <w:object>
          <v:shape id="_x0000_i1032" o:spt="75" type="#_x0000_t75" style="height:18pt;width:138pt;" o:ole="t" filled="f" o:preferrelative="t" stroked="f" coordsize="21600,21600">
            <v:path/>
            <v:fill on="f" focussize="0,0"/>
            <v:stroke on="f" joinstyle="miter"/>
            <v:imagedata r:id="rId24" o:title=""/>
            <o:lock v:ext="edit" aspectratio="t"/>
            <w10:wrap type="none"/>
            <w10:anchorlock/>
          </v:shape>
          <o:OLEObject Type="Embed" ProgID="Equation.AxMath" ShapeID="_x0000_i1032" DrawAspect="Content" ObjectID="_1468075732" r:id="rId23">
            <o:LockedField>false</o:LockedField>
          </o:OLEObject>
        </w:object>
      </w:r>
      <w:r>
        <w:rPr>
          <w:rFonts w:ascii="Times New Roman" w:hAnsi="Times New Roman"/>
          <w:color w:val="auto"/>
        </w:rPr>
        <w:t xml:space="preserve"> and </w:t>
      </w:r>
      <w:r>
        <w:rPr>
          <w:rFonts w:ascii="Times New Roman" w:hAnsi="Times New Roman"/>
          <w:color w:val="auto"/>
          <w:position w:val="-11"/>
        </w:rPr>
        <w:object>
          <v:shape id="_x0000_i1033" o:spt="75" type="#_x0000_t75" style="height:18pt;width:75pt;" o:ole="t" filled="f" o:preferrelative="t" stroked="f" coordsize="21600,21600">
            <v:path/>
            <v:fill on="f" focussize="0,0"/>
            <v:stroke on="f" joinstyle="miter"/>
            <v:imagedata r:id="rId26" o:title=""/>
            <o:lock v:ext="edit" aspectratio="t"/>
            <w10:wrap type="none"/>
            <w10:anchorlock/>
          </v:shape>
          <o:OLEObject Type="Embed" ProgID="Equation.AxMath" ShapeID="_x0000_i1033" DrawAspect="Content" ObjectID="_1468075733" r:id="rId25">
            <o:LockedField>false</o:LockedField>
          </o:OLEObject>
        </w:object>
      </w:r>
      <w:r>
        <w:rPr>
          <w:rFonts w:ascii="Times New Roman" w:hAnsi="Times New Roman"/>
          <w:color w:val="auto"/>
        </w:rPr>
        <w:t xml:space="preserve"> respectively represent the adjustment of external environment variables and random error terms, and all units are adjusted to the same environment. Subsequently, the objective and accurate efficiency will be obtained from the adjusted inputs</w:t>
      </w:r>
      <w:r>
        <w:rPr>
          <w:rFonts w:ascii="Times New Roman" w:hAnsi="Times New Roman"/>
          <w:color w:val="auto"/>
          <w:position w:val="-10"/>
        </w:rPr>
        <w:object>
          <v:shape id="_x0000_i1034" o:spt="75" type="#_x0000_t75" style="height:15pt;width:15.75pt;" o:ole="t" filled="f" o:preferrelative="t" stroked="f" coordsize="21600,21600">
            <v:path/>
            <v:fill on="f" focussize="0,0"/>
            <v:stroke on="f" joinstyle="miter"/>
            <v:imagedata r:id="rId28" o:title=""/>
            <o:lock v:ext="edit" aspectratio="t"/>
            <w10:wrap type="none"/>
            <w10:anchorlock/>
          </v:shape>
          <o:OLEObject Type="Embed" ProgID="Equation.AxMath" ShapeID="_x0000_i1034" DrawAspect="Content" ObjectID="_1468075734" r:id="rId27">
            <o:LockedField>false</o:LockedField>
          </o:OLEObject>
        </w:object>
      </w:r>
      <w:r>
        <w:rPr>
          <w:rFonts w:ascii="Times New Roman" w:hAnsi="Times New Roman"/>
          <w:color w:val="auto"/>
        </w:rPr>
        <w:t xml:space="preserve"> by introducing the traditional cost efficiency model.</w:t>
      </w:r>
    </w:p>
    <w:p w14:paraId="01900FD2">
      <w:pPr>
        <w:pStyle w:val="50"/>
        <w:spacing w:line="360" w:lineRule="auto"/>
        <w:ind w:left="0"/>
        <w:rPr>
          <w:rFonts w:ascii="Times New Roman" w:hAnsi="Times New Roman" w:eastAsiaTheme="minorEastAsia"/>
          <w:b w:val="0"/>
          <w:i/>
          <w:color w:val="auto"/>
          <w:lang w:eastAsia="zh-CN"/>
        </w:rPr>
      </w:pPr>
      <w:r>
        <w:rPr>
          <w:rFonts w:ascii="Times New Roman" w:hAnsi="Times New Roman" w:eastAsiaTheme="minorEastAsia"/>
          <w:b w:val="0"/>
          <w:i/>
          <w:color w:val="auto"/>
          <w:lang w:eastAsia="zh-CN"/>
        </w:rPr>
        <w:t>3.1.3 The third stage:</w:t>
      </w:r>
      <w:r>
        <w:rPr>
          <w:rFonts w:ascii="Times New Roman" w:hAnsi="Times New Roman"/>
          <w:color w:val="auto"/>
        </w:rPr>
        <w:t xml:space="preserve"> </w:t>
      </w:r>
      <w:r>
        <w:rPr>
          <w:rFonts w:ascii="Times New Roman" w:hAnsi="Times New Roman" w:eastAsiaTheme="minorEastAsia"/>
          <w:b w:val="0"/>
          <w:i/>
          <w:color w:val="auto"/>
          <w:lang w:eastAsia="zh-CN"/>
        </w:rPr>
        <w:t xml:space="preserve">Revised </w:t>
      </w:r>
      <w:r>
        <w:rPr>
          <w:rFonts w:ascii="Times New Roman" w:hAnsi="Times New Roman"/>
          <w:b w:val="0"/>
          <w:bCs/>
          <w:i/>
          <w:iCs/>
          <w:color w:val="auto"/>
        </w:rPr>
        <w:t>cost</w:t>
      </w:r>
      <w:r>
        <w:rPr>
          <w:rFonts w:ascii="Times New Roman" w:hAnsi="Times New Roman" w:eastAsiaTheme="minorEastAsia"/>
          <w:b w:val="0"/>
          <w:i/>
          <w:color w:val="auto"/>
          <w:lang w:eastAsia="zh-CN"/>
        </w:rPr>
        <w:t xml:space="preserve"> malmquist index</w:t>
      </w:r>
    </w:p>
    <w:p w14:paraId="17EA9EE0">
      <w:pPr>
        <w:pStyle w:val="35"/>
        <w:spacing w:line="360" w:lineRule="auto"/>
        <w:ind w:left="0"/>
        <w:rPr>
          <w:rFonts w:ascii="Times New Roman" w:hAnsi="Times New Roman"/>
          <w:color w:val="auto"/>
        </w:rPr>
      </w:pPr>
      <w:r>
        <w:rPr>
          <w:rFonts w:ascii="Times New Roman" w:hAnsi="Times New Roman"/>
          <w:color w:val="auto"/>
        </w:rPr>
        <w:t>The adjusted input indicators are obtained through the separation and calculation in the second stage, and the adjusted input indicators are used to calculate the cost Malmquist index in the third stage, which is objective and accurate without the influence of environmental factors and statistical noise.</w:t>
      </w:r>
    </w:p>
    <w:p w14:paraId="72E2F8D4">
      <w:pPr>
        <w:pStyle w:val="50"/>
        <w:spacing w:line="360" w:lineRule="auto"/>
        <w:ind w:left="0"/>
        <w:rPr>
          <w:rFonts w:ascii="Times New Roman" w:hAnsi="Times New Roman"/>
          <w:b w:val="0"/>
          <w:i/>
          <w:color w:val="auto"/>
        </w:rPr>
      </w:pPr>
      <w:r>
        <w:rPr>
          <w:rFonts w:ascii="Times New Roman" w:hAnsi="Times New Roman" w:eastAsiaTheme="minorEastAsia"/>
          <w:b w:val="0"/>
          <w:i/>
          <w:color w:val="auto"/>
          <w:lang w:eastAsia="zh-CN"/>
        </w:rPr>
        <w:t xml:space="preserve">3.2 </w:t>
      </w:r>
      <w:r>
        <w:rPr>
          <w:rFonts w:ascii="Times New Roman" w:hAnsi="Times New Roman"/>
          <w:b w:val="0"/>
          <w:i/>
          <w:color w:val="auto"/>
        </w:rPr>
        <w:t>The prediction models</w:t>
      </w:r>
      <w:r>
        <w:rPr>
          <w:rFonts w:ascii="Times New Roman" w:hAnsi="Times New Roman"/>
          <w:b w:val="0"/>
          <w:i/>
          <w:color w:val="auto"/>
        </w:rPr>
        <w:tab/>
      </w:r>
    </w:p>
    <w:p w14:paraId="425B507C">
      <w:pPr>
        <w:pStyle w:val="35"/>
        <w:spacing w:line="360" w:lineRule="auto"/>
        <w:ind w:left="0"/>
        <w:rPr>
          <w:rFonts w:ascii="Times New Roman" w:hAnsi="Times New Roman"/>
          <w:color w:val="auto"/>
        </w:rPr>
      </w:pPr>
      <w:r>
        <w:rPr>
          <w:rFonts w:ascii="Times New Roman" w:hAnsi="Times New Roman"/>
          <w:color w:val="auto"/>
        </w:rPr>
        <w:t>Prediction is also a prerequisite for decision making, as it allows to discover the change pattern [72] of the observed object and thus make a reasonable prediction. Neural network is known as Artificial Neural Network (ANN), which is an information processing technology modeled after the biological nervous system. In the past efficiency prediction studies, RBF neural network model [60](Lu et al., 2020) ; [70]  and BP neural network model [69] (Zhu et al., 2020); [71] have better prediction performance. This study uses these two models to predict TFP, and the following is a brief introduction for the models.</w:t>
      </w:r>
    </w:p>
    <w:p w14:paraId="6C562653">
      <w:pPr>
        <w:adjustRightInd w:val="0"/>
        <w:snapToGrid w:val="0"/>
        <w:spacing w:line="360" w:lineRule="auto"/>
        <w:ind w:firstLine="425"/>
        <w:rPr>
          <w:rFonts w:ascii="Times New Roman" w:hAnsi="Times New Roman"/>
          <w:color w:val="auto"/>
          <w:szCs w:val="21"/>
        </w:rPr>
      </w:pPr>
    </w:p>
    <w:p w14:paraId="4BF3F0BA">
      <w:pPr>
        <w:pStyle w:val="89"/>
        <w:spacing w:line="360" w:lineRule="auto"/>
        <w:rPr>
          <w:rFonts w:ascii="Times New Roman" w:hAnsi="Times New Roman"/>
          <w:i/>
          <w:color w:val="auto"/>
        </w:rPr>
      </w:pPr>
      <w:r>
        <w:rPr>
          <w:rFonts w:ascii="Times New Roman" w:hAnsi="Times New Roman" w:eastAsiaTheme="minorEastAsia"/>
          <w:bCs/>
          <w:i/>
          <w:color w:val="auto"/>
          <w:lang w:eastAsia="zh-CN"/>
        </w:rPr>
        <w:t>3.2.1</w:t>
      </w:r>
      <w:r>
        <w:rPr>
          <w:rFonts w:ascii="Times New Roman" w:hAnsi="Times New Roman" w:eastAsiaTheme="minorEastAsia"/>
          <w:b/>
          <w:i/>
          <w:color w:val="auto"/>
          <w:lang w:eastAsia="zh-CN"/>
        </w:rPr>
        <w:t xml:space="preserve"> </w:t>
      </w:r>
      <w:r>
        <w:rPr>
          <w:rFonts w:ascii="Times New Roman" w:hAnsi="Times New Roman"/>
          <w:i/>
          <w:color w:val="auto"/>
        </w:rPr>
        <w:t>Radial basis function neural network model</w:t>
      </w:r>
    </w:p>
    <w:p w14:paraId="0DCC2FE3">
      <w:pPr>
        <w:pStyle w:val="35"/>
        <w:spacing w:line="360" w:lineRule="auto"/>
        <w:ind w:left="0"/>
        <w:rPr>
          <w:rFonts w:ascii="Times New Roman" w:hAnsi="Times New Roman"/>
          <w:color w:val="auto"/>
        </w:rPr>
      </w:pPr>
      <w:r>
        <w:rPr>
          <w:rFonts w:ascii="Times New Roman" w:hAnsi="Times New Roman"/>
          <w:color w:val="auto"/>
        </w:rPr>
        <w:t>Powell (1987) proposed that the radial basis function approach to multivariate interpolation[73]. Broomhead and Lowe (1988) first applied RBF to neural network design. The hidden layer in a neural network provides a set of functions that construct an arbitrary basis when the input pattern is extended to the hidden space, and the functions in this set are called radial basis function (RBF)[74]. RBF neural network is a kind of forward neural network, and the most basic form of RBF network includes three layers: input layer, hidden layer and output layer, and its basic structure is shown in Figure1.</w:t>
      </w:r>
    </w:p>
    <w:p w14:paraId="260661F4">
      <w:pPr>
        <w:pStyle w:val="35"/>
        <w:spacing w:line="360" w:lineRule="auto"/>
        <w:ind w:left="0" w:firstLine="600" w:firstLineChars="300"/>
        <w:jc w:val="left"/>
        <w:rPr>
          <w:rFonts w:ascii="Times New Roman" w:hAnsi="Times New Roman"/>
          <w:color w:val="auto"/>
        </w:rPr>
      </w:pPr>
      <w:r>
        <w:rPr>
          <w:rFonts w:ascii="Times New Roman" w:hAnsi="Times New Roman"/>
          <w:color w:val="auto"/>
        </w:rPr>
        <w:drawing>
          <wp:anchor distT="0" distB="0" distL="114300" distR="114300" simplePos="0" relativeHeight="251659264" behindDoc="0" locked="0" layoutInCell="1" allowOverlap="1">
            <wp:simplePos x="0" y="0"/>
            <wp:positionH relativeFrom="column">
              <wp:posOffset>172720</wp:posOffset>
            </wp:positionH>
            <wp:positionV relativeFrom="paragraph">
              <wp:posOffset>0</wp:posOffset>
            </wp:positionV>
            <wp:extent cx="3215005" cy="2160270"/>
            <wp:effectExtent l="0" t="0" r="5080" b="0"/>
            <wp:wrapTopAndBottom/>
            <wp:docPr id="7" name="图片 7" descr="Figure 1. The structure figure of RBF neural network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 1. The structure figure of RBF neural networks&#10;&#10;描述已自动生成"/>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214800" cy="2160000"/>
                    </a:xfrm>
                    <a:prstGeom prst="rect">
                      <a:avLst/>
                    </a:prstGeom>
                  </pic:spPr>
                </pic:pic>
              </a:graphicData>
            </a:graphic>
          </wp:anchor>
        </w:drawing>
      </w:r>
      <w:r>
        <w:rPr>
          <w:rFonts w:ascii="Times New Roman" w:hAnsi="Times New Roman"/>
          <w:color w:val="auto"/>
        </w:rPr>
        <w:drawing>
          <wp:anchor distT="0" distB="0" distL="114300" distR="114300" simplePos="0" relativeHeight="251660288" behindDoc="0" locked="0" layoutInCell="1" allowOverlap="1">
            <wp:simplePos x="0" y="0"/>
            <wp:positionH relativeFrom="column">
              <wp:posOffset>3693795</wp:posOffset>
            </wp:positionH>
            <wp:positionV relativeFrom="paragraph">
              <wp:posOffset>0</wp:posOffset>
            </wp:positionV>
            <wp:extent cx="2476500" cy="2160270"/>
            <wp:effectExtent l="0" t="0" r="0" b="0"/>
            <wp:wrapTopAndBottom/>
            <wp:docPr id="8" name="图片 8" descr="图表, 折线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表, 折线图, 直方图&#10;&#10;描述已自动生成"/>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476800" cy="2160000"/>
                    </a:xfrm>
                    <a:prstGeom prst="rect">
                      <a:avLst/>
                    </a:prstGeom>
                  </pic:spPr>
                </pic:pic>
              </a:graphicData>
            </a:graphic>
          </wp:anchor>
        </w:drawing>
      </w:r>
      <w:r>
        <w:rPr>
          <w:rFonts w:ascii="Times New Roman" w:hAnsi="Times New Roman"/>
          <w:color w:val="auto"/>
        </w:rPr>
        <w:t>Figure 1. The structure figure of RBF neural networks                     Figure 2. Tan-Sigmoid function</w:t>
      </w:r>
    </w:p>
    <w:p w14:paraId="357714B2">
      <w:pPr>
        <w:pStyle w:val="35"/>
        <w:spacing w:line="360" w:lineRule="auto"/>
        <w:ind w:left="0"/>
        <w:rPr>
          <w:rFonts w:ascii="Times New Roman" w:hAnsi="Times New Roman"/>
          <w:color w:val="auto"/>
        </w:rPr>
      </w:pPr>
      <w:r>
        <w:rPr>
          <w:rFonts w:ascii="Times New Roman" w:hAnsi="Times New Roman"/>
          <w:color w:val="auto"/>
        </w:rPr>
        <w:t>The RBF neural network uses a distance function for the hidden node basis function and uses a radial basis function as the activation function. The distribution function of the RBF is:</w:t>
      </w:r>
    </w:p>
    <w:p w14:paraId="58FACFBC">
      <w:pPr>
        <w:spacing w:line="360" w:lineRule="auto"/>
        <w:jc w:val="center"/>
        <w:rPr>
          <w:rFonts w:ascii="Times New Roman" w:hAnsi="Times New Roman"/>
          <w:color w:val="auto"/>
        </w:rPr>
      </w:pPr>
      <w:r>
        <w:rPr>
          <w:rFonts w:ascii="Times New Roman" w:hAnsi="Times New Roman"/>
          <w:color w:val="auto"/>
          <w:position w:val="-28"/>
        </w:rPr>
        <w:object>
          <v:shape id="_x0000_i1035" o:spt="75" type="#_x0000_t75" style="height:36.75pt;width:115.5pt;" o:ole="t" filled="f" o:preferrelative="t" stroked="f" coordsize="21600,21600">
            <v:path/>
            <v:fill on="f" focussize="0,0"/>
            <v:stroke on="f" joinstyle="miter"/>
            <v:imagedata r:id="rId32" o:title=""/>
            <o:lock v:ext="edit" aspectratio="t"/>
            <w10:wrap type="none"/>
            <w10:anchorlock/>
          </v:shape>
          <o:OLEObject Type="Embed" ProgID="Equation.AxMath" ShapeID="_x0000_i1035" DrawAspect="Content" ObjectID="_1468075735" r:id="rId31">
            <o:LockedField>false</o:LockedField>
          </o:OLEObject>
        </w:object>
      </w:r>
    </w:p>
    <w:p w14:paraId="27D0B89E">
      <w:pPr>
        <w:spacing w:line="360" w:lineRule="auto"/>
        <w:rPr>
          <w:rFonts w:ascii="Times New Roman" w:hAnsi="Times New Roman" w:eastAsia="Times New Roman"/>
          <w:snapToGrid w:val="0"/>
          <w:color w:val="auto"/>
          <w:szCs w:val="22"/>
          <w:lang w:eastAsia="de-DE" w:bidi="en-US"/>
        </w:rPr>
      </w:pPr>
      <w:r>
        <w:rPr>
          <w:rFonts w:ascii="Times New Roman" w:hAnsi="Times New Roman"/>
          <w:color w:val="auto"/>
        </w:rPr>
        <w:t>Where</w:t>
      </w:r>
      <w:r>
        <w:rPr>
          <w:rFonts w:ascii="Times New Roman" w:hAnsi="Times New Roman"/>
          <w:color w:val="auto"/>
          <w:position w:val="-10"/>
        </w:rPr>
        <w:object>
          <v:shape id="_x0000_i1036" o:spt="75" type="#_x0000_t75" style="height:15.75pt;width:7.5pt;" o:ole="t" filled="f" o:preferrelative="t" stroked="f" coordsize="21600,21600">
            <v:path/>
            <v:fill on="f" focussize="0,0"/>
            <v:stroke on="f" joinstyle="miter"/>
            <v:imagedata r:id="rId34" o:title=""/>
            <o:lock v:ext="edit" aspectratio="t"/>
            <w10:wrap type="none"/>
            <w10:anchorlock/>
          </v:shape>
          <o:OLEObject Type="Embed" ProgID="Equation.AxMath" ShapeID="_x0000_i1036" DrawAspect="Content" ObjectID="_1468075736" r:id="rId33">
            <o:LockedField>false</o:LockedField>
          </o:OLEObject>
        </w:object>
      </w:r>
      <w:r>
        <w:rPr>
          <w:rFonts w:ascii="Times New Roman" w:hAnsi="Times New Roman"/>
          <w:color w:val="auto"/>
        </w:rPr>
        <w:t>is the number of neuron nodes in the hidden layer, i.e., the number of radial basis function centers, and the coefficients</w:t>
      </w:r>
      <w:r>
        <w:rPr>
          <w:rFonts w:ascii="Times New Roman" w:hAnsi="Times New Roman"/>
          <w:color w:val="auto"/>
          <w:position w:val="-10"/>
        </w:rPr>
        <w:object>
          <v:shape id="_x0000_i1037" o:spt="75" type="#_x0000_t75" style="height:15.75pt;width:79.5pt;" o:ole="t" filled="f" o:preferrelative="t" stroked="f" coordsize="21600,21600">
            <v:path/>
            <v:fill on="f" focussize="0,0"/>
            <v:stroke on="f" joinstyle="miter"/>
            <v:imagedata r:id="rId36" o:title=""/>
            <o:lock v:ext="edit" aspectratio="t"/>
            <w10:wrap type="none"/>
            <w10:anchorlock/>
          </v:shape>
          <o:OLEObject Type="Embed" ProgID="Equation.AxMath" ShapeID="_x0000_i1037" DrawAspect="Content" ObjectID="_1468075737" r:id="rId35">
            <o:LockedField>false</o:LockedField>
          </o:OLEObject>
        </w:object>
      </w:r>
      <w:r>
        <w:rPr>
          <w:rFonts w:ascii="Times New Roman" w:hAnsi="Times New Roman"/>
          <w:color w:val="auto"/>
        </w:rPr>
        <w:t xml:space="preserve"> are the connection weights. RBF neural networks use radial basis functions as the "base" of the hidden units to form the space of the hidden layer, mapping the input vectors directly to the hidden layer space. </w:t>
      </w:r>
      <w:r>
        <w:rPr>
          <w:rFonts w:ascii="Times New Roman" w:hAnsi="Times New Roman" w:eastAsia="Times New Roman"/>
          <w:snapToGrid w:val="0"/>
          <w:color w:val="auto"/>
          <w:szCs w:val="22"/>
          <w:lang w:eastAsia="de-DE" w:bidi="en-US"/>
        </w:rPr>
        <w:t xml:space="preserve">When the centroid of the radial basis function is determined, this nonlinear mapping relationship is also determined. It can be seen that the mapping relation of the RBF neural network is divided into two main parts (assuming that the input dimension is </w:t>
      </w:r>
      <w:r>
        <w:rPr>
          <w:rFonts w:ascii="Times New Roman" w:hAnsi="Times New Roman" w:eastAsia="Times New Roman"/>
          <w:snapToGrid w:val="0"/>
          <w:color w:val="auto"/>
          <w:position w:val="-10"/>
          <w:szCs w:val="22"/>
          <w:lang w:eastAsia="de-DE" w:bidi="en-US"/>
        </w:rPr>
        <w:object>
          <v:shape id="_x0000_i1038" o:spt="75" type="#_x0000_t75" style="height:15pt;width:9.75pt;" o:ole="t" filled="f" o:preferrelative="t" stroked="f" coordsize="21600,21600">
            <v:path/>
            <v:fill on="f" focussize="0,0"/>
            <v:stroke on="f" joinstyle="miter"/>
            <v:imagedata r:id="rId38" o:title=""/>
            <o:lock v:ext="edit" aspectratio="t"/>
            <w10:wrap type="none"/>
            <w10:anchorlock/>
          </v:shape>
          <o:OLEObject Type="Embed" ProgID="Equation.AxMath" ShapeID="_x0000_i1038" DrawAspect="Content" ObjectID="_1468075738" r:id="rId37">
            <o:LockedField>false</o:LockedField>
          </o:OLEObject>
        </w:object>
      </w:r>
      <w:r>
        <w:rPr>
          <w:rFonts w:ascii="Times New Roman" w:hAnsi="Times New Roman" w:eastAsia="Times New Roman"/>
          <w:snapToGrid w:val="0"/>
          <w:color w:val="auto"/>
          <w:szCs w:val="22"/>
          <w:lang w:eastAsia="de-DE" w:bidi="en-US"/>
        </w:rPr>
        <w:t xml:space="preserve">, the number of hidden layer nodes is </w:t>
      </w:r>
      <w:r>
        <w:rPr>
          <w:rFonts w:ascii="Times New Roman" w:hAnsi="Times New Roman" w:eastAsia="Times New Roman"/>
          <w:snapToGrid w:val="0"/>
          <w:color w:val="auto"/>
          <w:position w:val="-10"/>
          <w:szCs w:val="22"/>
          <w:lang w:eastAsia="de-DE" w:bidi="en-US"/>
        </w:rPr>
        <w:object>
          <v:shape id="_x0000_i1039" o:spt="75" type="#_x0000_t75" style="height:15pt;width:6.75pt;" o:ole="t" filled="f" o:preferrelative="t" stroked="f" coordsize="21600,21600">
            <v:path/>
            <v:fill on="f" focussize="0,0"/>
            <v:stroke on="f" joinstyle="miter"/>
            <v:imagedata r:id="rId40" o:title=""/>
            <o:lock v:ext="edit" aspectratio="t"/>
            <w10:wrap type="none"/>
            <w10:anchorlock/>
          </v:shape>
          <o:OLEObject Type="Embed" ProgID="Equation.AxMath" ShapeID="_x0000_i1039" DrawAspect="Content" ObjectID="_1468075739" r:id="rId39">
            <o:LockedField>false</o:LockedField>
          </o:OLEObject>
        </w:object>
      </w:r>
      <w:r>
        <w:rPr>
          <w:rFonts w:ascii="Times New Roman" w:hAnsi="Times New Roman" w:eastAsia="Times New Roman"/>
          <w:snapToGrid w:val="0"/>
          <w:color w:val="auto"/>
          <w:szCs w:val="22"/>
          <w:lang w:eastAsia="de-DE" w:bidi="en-US"/>
        </w:rPr>
        <w:t>, and the output dimension is</w:t>
      </w:r>
      <w:r>
        <w:rPr>
          <w:rFonts w:ascii="Times New Roman" w:hAnsi="Times New Roman" w:eastAsia="Times New Roman"/>
          <w:snapToGrid w:val="0"/>
          <w:color w:val="auto"/>
          <w:position w:val="-10"/>
          <w:szCs w:val="22"/>
          <w:lang w:eastAsia="de-DE" w:bidi="en-US"/>
        </w:rPr>
        <w:object>
          <v:shape id="_x0000_i1040" o:spt="75" type="#_x0000_t75" style="height:15pt;width:7.5pt;" o:ole="t" filled="f" o:preferrelative="t" stroked="f" coordsize="21600,21600">
            <v:path/>
            <v:fill on="f" focussize="0,0"/>
            <v:stroke on="f" joinstyle="miter"/>
            <v:imagedata r:id="rId42" o:title=""/>
            <o:lock v:ext="edit" aspectratio="t"/>
            <w10:wrap type="none"/>
            <w10:anchorlock/>
          </v:shape>
          <o:OLEObject Type="Embed" ProgID="Equation.AxMath" ShapeID="_x0000_i1040" DrawAspect="Content" ObjectID="_1468075740" r:id="rId41">
            <o:LockedField>false</o:LockedField>
          </o:OLEObject>
        </w:object>
      </w:r>
      <w:r>
        <w:rPr>
          <w:rFonts w:ascii="Times New Roman" w:hAnsi="Times New Roman" w:eastAsia="Times New Roman"/>
          <w:snapToGrid w:val="0"/>
          <w:color w:val="auto"/>
          <w:szCs w:val="22"/>
          <w:lang w:eastAsia="de-DE" w:bidi="en-US"/>
        </w:rPr>
        <w:t>).</w:t>
      </w:r>
    </w:p>
    <w:p w14:paraId="56E07CE7">
      <w:pPr>
        <w:spacing w:line="360" w:lineRule="auto"/>
        <w:jc w:val="center"/>
        <w:rPr>
          <w:rFonts w:ascii="Times New Roman" w:hAnsi="Times New Roman"/>
          <w:color w:val="auto"/>
        </w:rPr>
      </w:pPr>
      <w:r>
        <w:rPr>
          <w:rFonts w:ascii="Times New Roman" w:hAnsi="Times New Roman"/>
          <w:color w:val="auto"/>
          <w:position w:val="-28"/>
        </w:rPr>
        <w:object>
          <v:shape id="_x0000_i1041" o:spt="75" type="#_x0000_t75" style="height:36.75pt;width:144pt;" o:ole="t" filled="f" o:preferrelative="t" stroked="f" coordsize="21600,21600">
            <v:path/>
            <v:fill on="f" focussize="0,0"/>
            <v:stroke on="f" joinstyle="miter"/>
            <v:imagedata r:id="rId44" o:title=""/>
            <o:lock v:ext="edit" aspectratio="t"/>
            <w10:wrap type="none"/>
            <w10:anchorlock/>
          </v:shape>
          <o:OLEObject Type="Embed" ProgID="Equation.AxMath" ShapeID="_x0000_i1041" DrawAspect="Content" ObjectID="_1468075741" r:id="rId43">
            <o:LockedField>false</o:LockedField>
          </o:OLEObject>
        </w:object>
      </w:r>
    </w:p>
    <w:p w14:paraId="0A94FC25">
      <w:pPr>
        <w:pStyle w:val="35"/>
        <w:spacing w:line="360" w:lineRule="auto"/>
        <w:ind w:left="0"/>
        <w:rPr>
          <w:rFonts w:ascii="Times New Roman" w:hAnsi="Times New Roman"/>
          <w:color w:val="auto"/>
        </w:rPr>
      </w:pPr>
      <w:r>
        <w:rPr>
          <w:rFonts w:ascii="Times New Roman" w:hAnsi="Times New Roman"/>
          <w:color w:val="auto"/>
        </w:rPr>
        <w:t xml:space="preserve">In the formula, </w:t>
      </w:r>
      <w:r>
        <w:rPr>
          <w:rFonts w:ascii="Times New Roman" w:hAnsi="Times New Roman"/>
          <w:color w:val="auto"/>
          <w:position w:val="-10"/>
        </w:rPr>
        <w:object>
          <v:shape id="_x0000_i1042" o:spt="75" type="#_x0000_t75" style="height:15pt;width:6.75pt;" o:ole="t" filled="f" o:preferrelative="t" stroked="f" coordsize="21600,21600">
            <v:path/>
            <v:fill on="f" focussize="0,0"/>
            <v:stroke on="f" joinstyle="miter"/>
            <v:imagedata r:id="rId40" o:title=""/>
            <o:lock v:ext="edit" aspectratio="t"/>
            <w10:wrap type="none"/>
            <w10:anchorlock/>
          </v:shape>
          <o:OLEObject Type="Embed" ProgID="Equation.AxMath" ShapeID="_x0000_i1042" DrawAspect="Content" ObjectID="_1468075742" r:id="rId45">
            <o:LockedField>false</o:LockedField>
          </o:OLEObject>
        </w:object>
      </w:r>
      <w:r>
        <w:rPr>
          <w:rFonts w:ascii="Times New Roman" w:hAnsi="Times New Roman"/>
          <w:color w:val="auto"/>
        </w:rPr>
        <w:t xml:space="preserve">is the number of output nodes and </w:t>
      </w:r>
      <w:r>
        <w:rPr>
          <w:rFonts w:ascii="Times New Roman" w:hAnsi="Times New Roman"/>
          <w:color w:val="auto"/>
          <w:position w:val="-10"/>
        </w:rPr>
        <w:object>
          <v:shape id="_x0000_i1043" o:spt="75" type="#_x0000_t75" style="height:15pt;width:15pt;" o:ole="t" filled="f" o:preferrelative="t" stroked="f" coordsize="21600,21600">
            <v:path/>
            <v:fill on="f" focussize="0,0"/>
            <v:stroke on="f" joinstyle="miter"/>
            <v:imagedata r:id="rId47" o:title=""/>
            <o:lock v:ext="edit" aspectratio="t"/>
            <w10:wrap type="none"/>
            <w10:anchorlock/>
          </v:shape>
          <o:OLEObject Type="Embed" ProgID="Equation.AxMath" ShapeID="_x0000_i1043" DrawAspect="Content" ObjectID="_1468075743" r:id="rId46">
            <o:LockedField>false</o:LockedField>
          </o:OLEObject>
        </w:object>
      </w:r>
      <w:r>
        <w:rPr>
          <w:rFonts w:ascii="Times New Roman" w:hAnsi="Times New Roman"/>
          <w:color w:val="auto"/>
        </w:rPr>
        <w:t>is the vector of connection weights from the implicit layer to the output layer. In an RBF neural network, the centers of the hidden layers reflect the spatial patterns of the training samples, and their widths indicate the relative positions of the individual centers. RBF neural networks are widely used in many fields, such as function or signal approximation, data or graph compression, recognition of patterns, modeling of nonlinear systems and analytical processing of mechanical fault signals, soft measurement techniques, etc., based mainly on the following functions. (1) Any continuous function can be expressed as a weighted sum of a set of radial basis functions, radial basis functions can approximate the function; (2) Radial basis functions can be used as classifiers for linearly indistinguishable patterns.</w:t>
      </w:r>
    </w:p>
    <w:p w14:paraId="68062760">
      <w:pPr>
        <w:pStyle w:val="35"/>
        <w:spacing w:line="360" w:lineRule="auto"/>
        <w:ind w:left="0"/>
        <w:rPr>
          <w:rFonts w:ascii="Times New Roman" w:hAnsi="Times New Roman"/>
          <w:color w:val="auto"/>
        </w:rPr>
      </w:pPr>
      <w:r>
        <w:rPr>
          <w:rFonts w:ascii="Times New Roman" w:hAnsi="Times New Roman"/>
          <w:color w:val="auto"/>
        </w:rPr>
        <w:t>In summary, the algorithmic learning process of RBF is actually a learning process for two sets of parameters: determining the structure and parameters of the network, i.e., determining the number of nodes, node centers, and width of the hidden layer; and determining the connection weights between the hidden layer and the output layer.</w:t>
      </w:r>
    </w:p>
    <w:p w14:paraId="6097B8C8">
      <w:pPr>
        <w:pStyle w:val="35"/>
        <w:spacing w:line="360" w:lineRule="auto"/>
        <w:ind w:left="0"/>
        <w:rPr>
          <w:rFonts w:ascii="Times New Roman" w:hAnsi="Times New Roman"/>
          <w:color w:val="auto"/>
        </w:rPr>
      </w:pPr>
    </w:p>
    <w:p w14:paraId="6A346640">
      <w:pPr>
        <w:pStyle w:val="89"/>
        <w:spacing w:line="360" w:lineRule="auto"/>
        <w:rPr>
          <w:rFonts w:ascii="Times New Roman" w:hAnsi="Times New Roman"/>
          <w:i/>
          <w:color w:val="auto"/>
        </w:rPr>
      </w:pPr>
      <w:r>
        <w:rPr>
          <w:rFonts w:ascii="Times New Roman" w:hAnsi="Times New Roman" w:eastAsiaTheme="minorEastAsia"/>
          <w:bCs/>
          <w:i/>
          <w:color w:val="auto"/>
          <w:lang w:eastAsia="zh-CN"/>
        </w:rPr>
        <w:t>3.2.2</w:t>
      </w:r>
      <w:r>
        <w:rPr>
          <w:rFonts w:ascii="Times New Roman" w:hAnsi="Times New Roman" w:eastAsiaTheme="minorEastAsia"/>
          <w:b/>
          <w:i/>
          <w:color w:val="auto"/>
          <w:lang w:eastAsia="zh-CN"/>
        </w:rPr>
        <w:t xml:space="preserve"> </w:t>
      </w:r>
      <w:r>
        <w:rPr>
          <w:rFonts w:ascii="Times New Roman" w:hAnsi="Times New Roman"/>
          <w:i/>
          <w:color w:val="auto"/>
        </w:rPr>
        <w:t>Back propagation neural network</w:t>
      </w:r>
    </w:p>
    <w:p w14:paraId="408DA147">
      <w:pPr>
        <w:pStyle w:val="35"/>
        <w:spacing w:line="360" w:lineRule="auto"/>
        <w:ind w:left="0"/>
        <w:rPr>
          <w:rFonts w:ascii="Times New Roman" w:hAnsi="Times New Roman"/>
          <w:color w:val="auto"/>
        </w:rPr>
      </w:pPr>
      <w:r>
        <w:rPr>
          <w:rFonts w:ascii="Times New Roman" w:hAnsi="Times New Roman"/>
          <w:color w:val="auto"/>
        </w:rPr>
        <w:t>Back propagation neural network (BP neural networks) is a multilayer feedforward neural network with a wide range of applications in classification, function approximation, recognition, regression and other problems. BP neural networks, like RBF neural networks, consist of an input layer, an implicit layer and an output layer, where the implicit layer can be one or more layers. BP neural networks generally use Sigmoid functions or linear functions as transfer functions, and in the application of Sigmoid functions there are two forms of Log-Sigmoid functions and Tan-Sigmoid functions. In this paper, the Tan-Sigmoid function is used. The Tan-Sigmoid function maps the input values onto the interval (-1, 1) with the following expressions. The image of the Tan-Sigmoid function is shown Figure 2.</w:t>
      </w:r>
    </w:p>
    <w:p w14:paraId="6882B5BC">
      <w:pPr>
        <w:pStyle w:val="35"/>
        <w:spacing w:line="360" w:lineRule="auto"/>
        <w:ind w:left="0"/>
        <w:rPr>
          <w:rFonts w:ascii="Times New Roman" w:hAnsi="Times New Roman"/>
          <w:color w:val="auto"/>
        </w:rPr>
      </w:pPr>
    </w:p>
    <w:p w14:paraId="3BF12D5E">
      <w:pPr>
        <w:pStyle w:val="35"/>
        <w:spacing w:line="360" w:lineRule="auto"/>
        <w:ind w:left="0"/>
        <w:jc w:val="center"/>
        <w:rPr>
          <w:rFonts w:ascii="Times New Roman" w:hAnsi="Times New Roman"/>
          <w:color w:val="auto"/>
        </w:rPr>
      </w:pPr>
      <w:r>
        <w:rPr>
          <w:rFonts w:ascii="Times New Roman" w:hAnsi="Times New Roman"/>
          <w:color w:val="auto"/>
          <w:position w:val="-23"/>
        </w:rPr>
        <w:object>
          <v:shape id="_x0000_i1044" o:spt="75" type="#_x0000_t75" style="height:29.25pt;width:72pt;" o:ole="t" filled="f" o:preferrelative="t" stroked="f" coordsize="21600,21600">
            <v:path/>
            <v:fill on="f" focussize="0,0"/>
            <v:stroke on="f" joinstyle="miter"/>
            <v:imagedata r:id="rId49" o:title=""/>
            <o:lock v:ext="edit" aspectratio="t"/>
            <w10:wrap type="none"/>
            <w10:anchorlock/>
          </v:shape>
          <o:OLEObject Type="Embed" ProgID="Equation.AxMath" ShapeID="_x0000_i1044" DrawAspect="Content" ObjectID="_1468075744" r:id="rId48">
            <o:LockedField>false</o:LockedField>
          </o:OLEObject>
        </w:object>
      </w:r>
    </w:p>
    <w:p w14:paraId="4FF60AF7">
      <w:pPr>
        <w:pStyle w:val="35"/>
        <w:spacing w:line="360" w:lineRule="auto"/>
        <w:ind w:left="0"/>
        <w:rPr>
          <w:rFonts w:ascii="Times New Roman" w:hAnsi="Times New Roman"/>
          <w:color w:val="auto"/>
        </w:rPr>
      </w:pPr>
      <w:r>
        <w:rPr>
          <w:rFonts w:ascii="Times New Roman" w:hAnsi="Times New Roman"/>
          <w:color w:val="auto"/>
        </w:rPr>
        <w:t>The Sigmoid function is smooth and differentiable, and due to this property, a gradient descent algorithm can be used in the BP neural network. And when the objective function is taken as the mean square error, the fastest descent algorithm is also known as the Least Mean Square Algorithm (LMSA). In the LMS algorithm for BP neural networks, the goal of the algorithm is to determine a set of values for the weights ω such that the sum of squares of the errors is minimized.</w:t>
      </w:r>
    </w:p>
    <w:p w14:paraId="0A583078">
      <w:pPr>
        <w:pStyle w:val="35"/>
        <w:spacing w:line="360" w:lineRule="auto"/>
        <w:ind w:left="0"/>
        <w:jc w:val="center"/>
        <w:rPr>
          <w:rFonts w:ascii="Times New Roman" w:hAnsi="Times New Roman"/>
          <w:color w:val="auto"/>
        </w:rPr>
      </w:pPr>
      <w:r>
        <w:rPr>
          <w:rFonts w:ascii="Times New Roman" w:hAnsi="Times New Roman"/>
          <w:color w:val="auto"/>
          <w:position w:val="-28"/>
        </w:rPr>
        <w:object>
          <v:shape id="_x0000_i1045" o:spt="75" type="#_x0000_t75" style="height:36.75pt;width:108.75pt;" o:ole="t" filled="f" o:preferrelative="t" stroked="f" coordsize="21600,21600">
            <v:path/>
            <v:fill on="f" focussize="0,0"/>
            <v:stroke on="f" joinstyle="miter"/>
            <v:imagedata r:id="rId51" o:title=""/>
            <o:lock v:ext="edit" aspectratio="t"/>
            <w10:wrap type="none"/>
            <w10:anchorlock/>
          </v:shape>
          <o:OLEObject Type="Embed" ProgID="Equation.AxMath" ShapeID="_x0000_i1045" DrawAspect="Content" ObjectID="_1468075745" r:id="rId50">
            <o:LockedField>false</o:LockedField>
          </o:OLEObject>
        </w:object>
      </w:r>
    </w:p>
    <w:p w14:paraId="392304FF">
      <w:pPr>
        <w:pStyle w:val="35"/>
        <w:spacing w:line="360" w:lineRule="auto"/>
        <w:ind w:left="0"/>
        <w:rPr>
          <w:rFonts w:ascii="Times New Roman" w:hAnsi="Times New Roman"/>
          <w:color w:val="auto"/>
        </w:rPr>
      </w:pPr>
      <w:r>
        <w:rPr>
          <w:rFonts w:ascii="Times New Roman" w:hAnsi="Times New Roman"/>
          <w:color w:val="auto"/>
        </w:rPr>
        <w:t xml:space="preserve">Where </w:t>
      </w:r>
      <w:r>
        <w:rPr>
          <w:rFonts w:ascii="Cambria Math" w:hAnsi="Cambria Math" w:cs="Cambria Math"/>
          <w:color w:val="auto"/>
        </w:rPr>
        <w:t>𝑦𝑖</w:t>
      </w:r>
      <w:r>
        <w:rPr>
          <w:rFonts w:ascii="Times New Roman" w:hAnsi="Times New Roman"/>
          <w:color w:val="auto"/>
        </w:rPr>
        <w:t xml:space="preserve"> is the target value, </w:t>
      </w:r>
      <w:r>
        <w:rPr>
          <w:rFonts w:ascii="Times New Roman" w:hAnsi="Times New Roman"/>
          <w:color w:val="auto"/>
          <w:position w:val="-13"/>
        </w:rPr>
        <w:object>
          <v:shape id="_x0000_i1046" o:spt="75" type="#_x0000_t75" style="height:15.75pt;width:10.5pt;" o:ole="t" filled="f" o:preferrelative="t" stroked="f" coordsize="21600,21600">
            <v:path/>
            <v:fill on="f" focussize="0,0"/>
            <v:stroke on="f" joinstyle="miter"/>
            <v:imagedata r:id="rId53" o:title=""/>
            <o:lock v:ext="edit" aspectratio="t"/>
            <w10:wrap type="none"/>
            <w10:anchorlock/>
          </v:shape>
          <o:OLEObject Type="Embed" ProgID="Equation.AxMath" ShapeID="_x0000_i1046" DrawAspect="Content" ObjectID="_1468075746" r:id="rId52">
            <o:LockedField>false</o:LockedField>
          </o:OLEObject>
        </w:object>
      </w:r>
      <w:r>
        <w:rPr>
          <w:rFonts w:ascii="Times New Roman" w:hAnsi="Times New Roman"/>
          <w:color w:val="auto"/>
        </w:rPr>
        <w:t xml:space="preserve"> is the corresponding neural network prediction, and is in fact a function of the network weights ω. At this point, the formula for updating the weights based on the gradient descent method can be written as</w:t>
      </w:r>
    </w:p>
    <w:p w14:paraId="46897FFF">
      <w:pPr>
        <w:pStyle w:val="35"/>
        <w:spacing w:line="360" w:lineRule="auto"/>
        <w:ind w:left="0"/>
        <w:jc w:val="center"/>
        <w:rPr>
          <w:rFonts w:ascii="Times New Roman" w:hAnsi="Times New Roman"/>
          <w:color w:val="auto"/>
        </w:rPr>
      </w:pPr>
      <w:r>
        <w:rPr>
          <w:rFonts w:ascii="Times New Roman" w:hAnsi="Times New Roman"/>
          <w:color w:val="auto"/>
          <w:position w:val="-23"/>
        </w:rPr>
        <w:object>
          <v:shape id="_x0000_i1047" o:spt="75" type="#_x0000_t75" style="height:29.25pt;width:93pt;" o:ole="t" filled="f" o:preferrelative="t" stroked="f" coordsize="21600,21600">
            <v:path/>
            <v:fill on="f" focussize="0,0"/>
            <v:stroke on="f" joinstyle="miter"/>
            <v:imagedata r:id="rId55" o:title=""/>
            <o:lock v:ext="edit" aspectratio="t"/>
            <w10:wrap type="none"/>
            <w10:anchorlock/>
          </v:shape>
          <o:OLEObject Type="Embed" ProgID="Equation.AxMath" ShapeID="_x0000_i1047" DrawAspect="Content" ObjectID="_1468075747" r:id="rId54">
            <o:LockedField>false</o:LockedField>
          </o:OLEObject>
        </w:object>
      </w:r>
    </w:p>
    <w:p w14:paraId="31C6C31F">
      <w:pPr>
        <w:pStyle w:val="35"/>
        <w:spacing w:line="360" w:lineRule="auto"/>
        <w:ind w:left="0"/>
        <w:rPr>
          <w:rFonts w:ascii="Times New Roman" w:hAnsi="Times New Roman"/>
          <w:color w:val="auto"/>
        </w:rPr>
      </w:pPr>
      <w:r>
        <w:rPr>
          <w:rFonts w:ascii="Times New Roman" w:hAnsi="Times New Roman"/>
          <w:color w:val="auto"/>
        </w:rPr>
        <w:t xml:space="preserve">where </w:t>
      </w:r>
      <w:r>
        <w:rPr>
          <w:rFonts w:ascii="Cambria Math" w:hAnsi="Cambria Math" w:cs="Cambria Math"/>
          <w:color w:val="auto"/>
        </w:rPr>
        <w:t>𝜂</w:t>
      </w:r>
      <w:r>
        <w:rPr>
          <w:rFonts w:ascii="Times New Roman" w:hAnsi="Times New Roman"/>
          <w:color w:val="auto"/>
        </w:rPr>
        <w:t xml:space="preserve"> is the learning rate. In the above equation, the weights are changed in the direction that makes the overall error decrease. The fastest descent method also has some drawbacks, such as when the objective function contains multiple minimal values, the algorithm may obtain a local minimal value instead of a global minimum. The design process of neural network mainly includes determining the structure of neural network as well as selecting the transfer function, training method, parameters and other aspects.</w:t>
      </w:r>
    </w:p>
    <w:p w14:paraId="6F8BDCCA">
      <w:pPr>
        <w:pStyle w:val="35"/>
        <w:spacing w:line="360" w:lineRule="auto"/>
        <w:ind w:left="0" w:firstLine="0"/>
        <w:rPr>
          <w:rFonts w:ascii="Times New Roman" w:hAnsi="Times New Roman"/>
          <w:color w:val="auto"/>
        </w:rPr>
      </w:pPr>
      <w:r>
        <w:rPr>
          <w:rFonts w:ascii="Times New Roman" w:hAnsi="Times New Roman"/>
          <w:color w:val="auto"/>
        </w:rPr>
        <w:t>(1) Determine the number of layers;</w:t>
      </w:r>
      <w:r>
        <w:rPr>
          <w:rFonts w:ascii="Times New Roman" w:hAnsi="Times New Roman" w:eastAsiaTheme="minorEastAsia"/>
          <w:color w:val="auto"/>
          <w:lang w:eastAsia="zh-CN"/>
        </w:rPr>
        <w:t xml:space="preserve"> </w:t>
      </w:r>
      <w:r>
        <w:rPr>
          <w:rFonts w:ascii="Times New Roman" w:hAnsi="Times New Roman"/>
          <w:color w:val="auto"/>
        </w:rPr>
        <w:t xml:space="preserve">(2) Determine the input layer; (3) Determine the output layer; (4) Determine the hidden layer; </w:t>
      </w:r>
    </w:p>
    <w:p w14:paraId="20CB5FB1">
      <w:pPr>
        <w:pStyle w:val="35"/>
        <w:spacing w:line="360" w:lineRule="auto"/>
        <w:ind w:left="0" w:firstLine="0"/>
        <w:rPr>
          <w:rFonts w:ascii="Times New Roman" w:hAnsi="Times New Roman"/>
          <w:color w:val="auto"/>
        </w:rPr>
      </w:pPr>
      <w:r>
        <w:rPr>
          <w:rFonts w:ascii="Times New Roman" w:hAnsi="Times New Roman"/>
          <w:color w:val="auto"/>
        </w:rPr>
        <w:t>(5) Selection of transfer function in BP neural networks; (6) Selection of training methods.</w:t>
      </w:r>
    </w:p>
    <w:p w14:paraId="0B6C2DB9">
      <w:pPr>
        <w:pStyle w:val="50"/>
        <w:spacing w:line="360" w:lineRule="auto"/>
        <w:ind w:left="0"/>
        <w:rPr>
          <w:rFonts w:ascii="Times New Roman" w:hAnsi="Times New Roman"/>
          <w:color w:val="auto"/>
        </w:rPr>
      </w:pPr>
      <w:bookmarkStart w:id="2" w:name="page2"/>
      <w:bookmarkEnd w:id="2"/>
      <w:r>
        <w:rPr>
          <w:rFonts w:ascii="Times New Roman" w:hAnsi="Times New Roman"/>
          <w:color w:val="auto"/>
        </w:rPr>
        <w:t>4. Empirical Analysis</w:t>
      </w:r>
    </w:p>
    <w:p w14:paraId="52D1547D">
      <w:pPr>
        <w:pStyle w:val="51"/>
        <w:spacing w:before="240" w:line="360" w:lineRule="auto"/>
        <w:ind w:left="0"/>
        <w:rPr>
          <w:rFonts w:ascii="Times New Roman" w:hAnsi="Times New Roman"/>
          <w:color w:val="auto"/>
        </w:rPr>
      </w:pPr>
      <w:r>
        <w:rPr>
          <w:rFonts w:ascii="Times New Roman" w:hAnsi="Times New Roman"/>
          <w:color w:val="auto"/>
        </w:rPr>
        <w:t>4.1. Indicators and sample</w:t>
      </w:r>
    </w:p>
    <w:p w14:paraId="7103002B">
      <w:pPr>
        <w:pStyle w:val="35"/>
        <w:spacing w:line="360" w:lineRule="auto"/>
        <w:ind w:left="0"/>
        <w:rPr>
          <w:rFonts w:ascii="Times New Roman" w:hAnsi="Times New Roman"/>
          <w:color w:val="auto"/>
        </w:rPr>
      </w:pPr>
      <w:r>
        <w:rPr>
          <w:rFonts w:ascii="Times New Roman" w:hAnsi="Times New Roman"/>
          <w:color w:val="auto"/>
        </w:rPr>
        <w:t>DEA is a mathematical method of programming that evaluates the relative efficiency of DMUs with multiple inputs and multiple outputs [75,76,77](Morita and Avkiran, 2009); (Manandhar and Tang, 2002); (Sherman and Rupert, 2006). As this research are interested in measuring operating efficiency, inputs and outputs indicators have been determined accordingly[9,10,35,50,78,79,80] (Keh and Chu, 2003; Thomas et al., 1998; Ni S S., 2019) (Zhao, 2020; Sun Y M, 2018) (Dubelaar et al., 2002; Li, 2016). Based on the previous literature and availability of data, this study considers three indicators as inputs: operating costs, personnel expenses, and fixed assets of listed retail companies, and two indicators as outputs: prime operating revenue and operating profit of listed retail companies. Based on previous literature and available data, the input indicators, output indicators and environmental indicators for this study are as follows.</w:t>
      </w:r>
    </w:p>
    <w:p w14:paraId="74212639">
      <w:pPr>
        <w:pStyle w:val="35"/>
        <w:spacing w:line="360" w:lineRule="auto"/>
        <w:ind w:left="0"/>
        <w:jc w:val="center"/>
        <w:rPr>
          <w:rFonts w:ascii="Times New Roman" w:hAnsi="Times New Roman"/>
          <w:color w:val="auto"/>
        </w:rPr>
      </w:pPr>
      <w:r>
        <w:rPr>
          <w:rFonts w:ascii="Times New Roman" w:hAnsi="Times New Roman"/>
          <w:color w:val="auto"/>
        </w:rPr>
        <w:t>Table 1. Transportation efficiency evaluation indicators</w:t>
      </w:r>
    </w:p>
    <w:tbl>
      <w:tblPr>
        <w:tblStyle w:val="15"/>
        <w:tblW w:w="10429" w:type="dxa"/>
        <w:tblInd w:w="0" w:type="dxa"/>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2"/>
        <w:gridCol w:w="2977"/>
        <w:gridCol w:w="4900"/>
      </w:tblGrid>
      <w:tr w14:paraId="330C1CBC">
        <w:tblPrEx>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552" w:type="dxa"/>
            <w:tcBorders>
              <w:top w:val="thinThickSmallGap" w:color="auto" w:sz="12" w:space="0"/>
              <w:bottom w:val="single" w:color="auto" w:sz="4" w:space="0"/>
            </w:tcBorders>
            <w:vAlign w:val="center"/>
          </w:tcPr>
          <w:p w14:paraId="7C0FD05C">
            <w:pPr>
              <w:spacing w:line="360" w:lineRule="auto"/>
              <w:rPr>
                <w:rFonts w:ascii="Times New Roman" w:hAnsi="Times New Roman" w:eastAsia="Times New Roman"/>
                <w:snapToGrid w:val="0"/>
                <w:color w:val="auto"/>
                <w:lang w:eastAsia="de-DE" w:bidi="en-US"/>
              </w:rPr>
            </w:pPr>
            <w:r>
              <w:rPr>
                <w:rFonts w:ascii="Times New Roman" w:hAnsi="Times New Roman" w:eastAsia="Times New Roman"/>
                <w:snapToGrid w:val="0"/>
                <w:color w:val="auto"/>
                <w:lang w:eastAsia="de-DE" w:bidi="en-US"/>
              </w:rPr>
              <w:t>Input Indicators</w:t>
            </w:r>
          </w:p>
        </w:tc>
        <w:tc>
          <w:tcPr>
            <w:tcW w:w="2977" w:type="dxa"/>
            <w:tcBorders>
              <w:top w:val="thinThickSmallGap" w:color="auto" w:sz="12" w:space="0"/>
              <w:bottom w:val="single" w:color="auto" w:sz="4" w:space="0"/>
            </w:tcBorders>
            <w:vAlign w:val="center"/>
          </w:tcPr>
          <w:p w14:paraId="072EFA35">
            <w:pPr>
              <w:spacing w:line="360" w:lineRule="auto"/>
              <w:rPr>
                <w:rFonts w:ascii="Times New Roman" w:hAnsi="Times New Roman" w:eastAsia="Times New Roman"/>
                <w:snapToGrid w:val="0"/>
                <w:color w:val="auto"/>
                <w:lang w:eastAsia="de-DE" w:bidi="en-US"/>
              </w:rPr>
            </w:pPr>
            <w:r>
              <w:rPr>
                <w:rFonts w:ascii="Times New Roman" w:hAnsi="Times New Roman"/>
                <w:color w:val="auto"/>
                <w:shd w:val="clear" w:color="auto" w:fill="FFFFFF"/>
              </w:rPr>
              <w:t>Output Indicators</w:t>
            </w:r>
          </w:p>
        </w:tc>
        <w:tc>
          <w:tcPr>
            <w:tcW w:w="4900" w:type="dxa"/>
            <w:tcBorders>
              <w:top w:val="thinThickSmallGap" w:color="auto" w:sz="12" w:space="0"/>
              <w:bottom w:val="single" w:color="auto" w:sz="4" w:space="0"/>
            </w:tcBorders>
            <w:vAlign w:val="center"/>
          </w:tcPr>
          <w:p w14:paraId="190BFBF9">
            <w:pPr>
              <w:spacing w:line="360" w:lineRule="auto"/>
              <w:rPr>
                <w:rFonts w:ascii="Times New Roman" w:hAnsi="Times New Roman" w:eastAsia="Times New Roman"/>
                <w:snapToGrid w:val="0"/>
                <w:color w:val="auto"/>
                <w:lang w:eastAsia="de-DE" w:bidi="en-US"/>
              </w:rPr>
            </w:pPr>
            <w:r>
              <w:rPr>
                <w:rFonts w:ascii="Times New Roman" w:hAnsi="Times New Roman"/>
                <w:color w:val="auto"/>
                <w:shd w:val="clear" w:color="auto" w:fill="FFFFFF"/>
              </w:rPr>
              <w:t>Environmental Indicators</w:t>
            </w:r>
          </w:p>
        </w:tc>
      </w:tr>
      <w:tr w14:paraId="65F18273">
        <w:tblPrEx>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7" w:hRule="atLeast"/>
        </w:trPr>
        <w:tc>
          <w:tcPr>
            <w:tcW w:w="2552" w:type="dxa"/>
            <w:tcBorders>
              <w:top w:val="single" w:color="auto" w:sz="4" w:space="0"/>
            </w:tcBorders>
          </w:tcPr>
          <w:p w14:paraId="2C6EE258">
            <w:pPr>
              <w:spacing w:line="360" w:lineRule="auto"/>
              <w:rPr>
                <w:rFonts w:ascii="Times New Roman" w:hAnsi="Times New Roman" w:eastAsia="Times New Roman"/>
                <w:snapToGrid w:val="0"/>
                <w:color w:val="auto"/>
                <w:lang w:eastAsia="de-DE" w:bidi="en-US"/>
              </w:rPr>
            </w:pPr>
            <w:r>
              <w:rPr>
                <w:rFonts w:ascii="Times New Roman" w:hAnsi="Times New Roman" w:eastAsia="Times New Roman"/>
                <w:snapToGrid w:val="0"/>
                <w:color w:val="auto"/>
                <w:lang w:eastAsia="de-DE" w:bidi="en-US"/>
              </w:rPr>
              <w:t>Operating costs (X1)</w:t>
            </w:r>
          </w:p>
          <w:p w14:paraId="34EE119A">
            <w:pPr>
              <w:spacing w:line="360" w:lineRule="auto"/>
              <w:rPr>
                <w:rFonts w:ascii="Times New Roman" w:hAnsi="Times New Roman" w:eastAsia="Times New Roman"/>
                <w:snapToGrid w:val="0"/>
                <w:color w:val="auto"/>
                <w:lang w:eastAsia="de-DE" w:bidi="en-US"/>
              </w:rPr>
            </w:pPr>
            <w:r>
              <w:rPr>
                <w:rFonts w:ascii="Times New Roman" w:hAnsi="Times New Roman" w:eastAsia="Times New Roman"/>
                <w:snapToGrid w:val="0"/>
                <w:color w:val="auto"/>
                <w:lang w:eastAsia="de-DE" w:bidi="en-US"/>
              </w:rPr>
              <w:t>Personnel expenses (X2)</w:t>
            </w:r>
          </w:p>
          <w:p w14:paraId="2C260D4C">
            <w:pPr>
              <w:spacing w:line="360" w:lineRule="auto"/>
              <w:rPr>
                <w:rFonts w:ascii="Times New Roman" w:hAnsi="Times New Roman" w:eastAsia="Times New Roman"/>
                <w:snapToGrid w:val="0"/>
                <w:color w:val="auto"/>
                <w:lang w:eastAsia="de-DE" w:bidi="en-US"/>
              </w:rPr>
            </w:pPr>
            <w:r>
              <w:rPr>
                <w:rFonts w:ascii="Times New Roman" w:hAnsi="Times New Roman" w:eastAsia="Times New Roman"/>
                <w:snapToGrid w:val="0"/>
                <w:color w:val="auto"/>
                <w:lang w:eastAsia="de-DE" w:bidi="en-US"/>
              </w:rPr>
              <w:t>Fixed assets (X3)</w:t>
            </w:r>
          </w:p>
          <w:p w14:paraId="4AD8F9F8">
            <w:pPr>
              <w:spacing w:line="360" w:lineRule="auto"/>
              <w:rPr>
                <w:rFonts w:ascii="Times New Roman" w:hAnsi="Times New Roman" w:eastAsia="Times New Roman"/>
                <w:snapToGrid w:val="0"/>
                <w:color w:val="auto"/>
                <w:lang w:eastAsia="de-DE" w:bidi="en-US"/>
              </w:rPr>
            </w:pPr>
            <w:r>
              <w:rPr>
                <w:rFonts w:ascii="Times New Roman" w:hAnsi="Times New Roman" w:eastAsia="Times New Roman"/>
                <w:snapToGrid w:val="0"/>
                <w:color w:val="auto"/>
                <w:lang w:eastAsia="de-DE" w:bidi="en-US"/>
              </w:rPr>
              <w:t>Inventory price (P1)</w:t>
            </w:r>
          </w:p>
          <w:p w14:paraId="00FA8560">
            <w:pPr>
              <w:spacing w:line="360" w:lineRule="auto"/>
              <w:rPr>
                <w:rFonts w:ascii="Times New Roman" w:hAnsi="Times New Roman" w:eastAsia="Times New Roman"/>
                <w:snapToGrid w:val="0"/>
                <w:color w:val="auto"/>
                <w:lang w:eastAsia="de-DE" w:bidi="en-US"/>
              </w:rPr>
            </w:pPr>
            <w:r>
              <w:rPr>
                <w:rFonts w:ascii="Times New Roman" w:hAnsi="Times New Roman" w:eastAsia="Times New Roman"/>
                <w:snapToGrid w:val="0"/>
                <w:color w:val="auto"/>
                <w:lang w:eastAsia="de-DE" w:bidi="en-US"/>
              </w:rPr>
              <w:t>Labor price (P2)</w:t>
            </w:r>
          </w:p>
          <w:p w14:paraId="77816C1A">
            <w:pPr>
              <w:spacing w:line="360" w:lineRule="auto"/>
              <w:rPr>
                <w:rFonts w:ascii="Times New Roman" w:hAnsi="Times New Roman" w:eastAsia="Times New Roman"/>
                <w:snapToGrid w:val="0"/>
                <w:color w:val="auto"/>
                <w:lang w:eastAsia="de-DE" w:bidi="en-US"/>
              </w:rPr>
            </w:pPr>
            <w:r>
              <w:rPr>
                <w:rFonts w:ascii="Times New Roman" w:hAnsi="Times New Roman" w:eastAsia="Times New Roman"/>
                <w:snapToGrid w:val="0"/>
                <w:color w:val="auto"/>
                <w:lang w:eastAsia="de-DE" w:bidi="en-US"/>
              </w:rPr>
              <w:t>Space price (P3)</w:t>
            </w:r>
          </w:p>
        </w:tc>
        <w:tc>
          <w:tcPr>
            <w:tcW w:w="2977" w:type="dxa"/>
            <w:tcBorders>
              <w:top w:val="single" w:color="auto" w:sz="4" w:space="0"/>
            </w:tcBorders>
          </w:tcPr>
          <w:p w14:paraId="2139D931">
            <w:pPr>
              <w:spacing w:line="360" w:lineRule="auto"/>
              <w:rPr>
                <w:rFonts w:ascii="Times New Roman" w:hAnsi="Times New Roman" w:eastAsia="Times New Roman"/>
                <w:snapToGrid w:val="0"/>
                <w:color w:val="auto"/>
                <w:lang w:eastAsia="de-DE" w:bidi="en-US"/>
              </w:rPr>
            </w:pPr>
            <w:r>
              <w:rPr>
                <w:rFonts w:ascii="Times New Roman" w:hAnsi="Times New Roman" w:eastAsia="Times New Roman"/>
                <w:snapToGrid w:val="0"/>
                <w:color w:val="auto"/>
                <w:lang w:eastAsia="de-DE" w:bidi="en-US"/>
              </w:rPr>
              <w:t>Prime operating revenue (Y1)</w:t>
            </w:r>
          </w:p>
          <w:p w14:paraId="36718582">
            <w:pPr>
              <w:spacing w:line="360" w:lineRule="auto"/>
              <w:rPr>
                <w:rFonts w:ascii="Times New Roman" w:hAnsi="Times New Roman" w:eastAsia="Times New Roman"/>
                <w:snapToGrid w:val="0"/>
                <w:color w:val="auto"/>
                <w:lang w:eastAsia="de-DE" w:bidi="en-US"/>
              </w:rPr>
            </w:pPr>
            <w:r>
              <w:rPr>
                <w:rFonts w:ascii="Times New Roman" w:hAnsi="Times New Roman" w:eastAsia="Times New Roman"/>
                <w:snapToGrid w:val="0"/>
                <w:color w:val="auto"/>
                <w:lang w:eastAsia="de-DE" w:bidi="en-US"/>
              </w:rPr>
              <w:t>Operating profit (Y2)</w:t>
            </w:r>
          </w:p>
        </w:tc>
        <w:tc>
          <w:tcPr>
            <w:tcW w:w="4900" w:type="dxa"/>
            <w:tcBorders>
              <w:top w:val="single" w:color="auto" w:sz="4" w:space="0"/>
            </w:tcBorders>
          </w:tcPr>
          <w:p w14:paraId="328979E9">
            <w:pPr>
              <w:spacing w:line="360" w:lineRule="auto"/>
              <w:rPr>
                <w:rFonts w:ascii="Times New Roman" w:hAnsi="Times New Roman" w:eastAsia="Times New Roman"/>
                <w:snapToGrid w:val="0"/>
                <w:color w:val="auto"/>
                <w:lang w:eastAsia="de-DE" w:bidi="en-US"/>
              </w:rPr>
            </w:pPr>
            <w:r>
              <w:rPr>
                <w:rFonts w:ascii="Times New Roman" w:hAnsi="Times New Roman" w:eastAsia="Times New Roman"/>
                <w:snapToGrid w:val="0"/>
                <w:color w:val="auto"/>
                <w:lang w:eastAsia="de-DE" w:bidi="en-US"/>
              </w:rPr>
              <w:t>Duration of company (Z1)</w:t>
            </w:r>
          </w:p>
          <w:p w14:paraId="5F16A421">
            <w:pPr>
              <w:spacing w:line="360" w:lineRule="auto"/>
              <w:rPr>
                <w:rFonts w:ascii="Times New Roman" w:hAnsi="Times New Roman" w:eastAsia="Times New Roman"/>
                <w:snapToGrid w:val="0"/>
                <w:color w:val="auto"/>
                <w:lang w:eastAsia="de-DE" w:bidi="en-US"/>
              </w:rPr>
            </w:pPr>
            <w:r>
              <w:rPr>
                <w:rFonts w:ascii="Times New Roman" w:hAnsi="Times New Roman" w:eastAsia="Times New Roman"/>
                <w:snapToGrid w:val="0"/>
                <w:color w:val="auto"/>
                <w:lang w:eastAsia="de-DE" w:bidi="en-US"/>
              </w:rPr>
              <w:t>Retail Price Classification Index (Z2)</w:t>
            </w:r>
          </w:p>
          <w:p w14:paraId="02A36095">
            <w:pPr>
              <w:spacing w:line="360" w:lineRule="auto"/>
              <w:rPr>
                <w:rFonts w:ascii="Times New Roman" w:hAnsi="Times New Roman" w:eastAsia="Times New Roman"/>
                <w:snapToGrid w:val="0"/>
                <w:color w:val="auto"/>
                <w:lang w:eastAsia="de-DE" w:bidi="en-US"/>
              </w:rPr>
            </w:pPr>
            <w:r>
              <w:rPr>
                <w:rFonts w:ascii="Times New Roman" w:hAnsi="Times New Roman" w:eastAsia="Times New Roman"/>
                <w:snapToGrid w:val="0"/>
                <w:color w:val="auto"/>
                <w:lang w:eastAsia="de-DE" w:bidi="en-US"/>
              </w:rPr>
              <w:t>Logistics development degree in main business areas (Z3)</w:t>
            </w:r>
          </w:p>
          <w:p w14:paraId="50BCD865">
            <w:pPr>
              <w:spacing w:line="360" w:lineRule="auto"/>
              <w:rPr>
                <w:rFonts w:ascii="Times New Roman" w:hAnsi="Times New Roman" w:eastAsia="Times New Roman"/>
                <w:snapToGrid w:val="0"/>
                <w:color w:val="auto"/>
                <w:lang w:eastAsia="de-DE" w:bidi="en-US"/>
              </w:rPr>
            </w:pPr>
            <w:r>
              <w:rPr>
                <w:rFonts w:ascii="Times New Roman" w:hAnsi="Times New Roman" w:eastAsia="Times New Roman"/>
                <w:snapToGrid w:val="0"/>
                <w:color w:val="auto"/>
                <w:lang w:eastAsia="de-DE" w:bidi="en-US"/>
              </w:rPr>
              <w:t>Enterprise informatization degree in office areas (Z4)</w:t>
            </w:r>
          </w:p>
          <w:p w14:paraId="683C795C">
            <w:pPr>
              <w:spacing w:line="360" w:lineRule="auto"/>
              <w:rPr>
                <w:rFonts w:ascii="Times New Roman" w:hAnsi="Times New Roman" w:eastAsia="Times New Roman"/>
                <w:snapToGrid w:val="0"/>
                <w:color w:val="auto"/>
                <w:lang w:eastAsia="de-DE" w:bidi="en-US"/>
              </w:rPr>
            </w:pPr>
            <w:r>
              <w:rPr>
                <w:rFonts w:ascii="Times New Roman" w:hAnsi="Times New Roman" w:eastAsia="Times New Roman"/>
                <w:snapToGrid w:val="0"/>
                <w:color w:val="auto"/>
                <w:lang w:eastAsia="de-DE" w:bidi="en-US"/>
              </w:rPr>
              <w:t>Disposable income per capita in main business areas (Z5)</w:t>
            </w:r>
          </w:p>
        </w:tc>
      </w:tr>
    </w:tbl>
    <w:p w14:paraId="5ABDE3F8">
      <w:pPr>
        <w:pStyle w:val="35"/>
        <w:spacing w:line="360" w:lineRule="auto"/>
        <w:ind w:left="0"/>
        <w:rPr>
          <w:rFonts w:ascii="Times New Roman" w:hAnsi="Times New Roman" w:eastAsia="宋体"/>
          <w:color w:val="auto"/>
          <w:lang w:eastAsia="zh-CN"/>
        </w:rPr>
      </w:pPr>
      <w:r>
        <w:rPr>
          <w:rFonts w:ascii="Times New Roman" w:hAnsi="Times New Roman"/>
          <w:color w:val="auto"/>
        </w:rPr>
        <w:t>This study uses the Wind database (https://www.wind.com) and East money database(https://data.eastmoney.com) to collect data related to the annual reports of listed companies in the retail sector classified by the Securities and Exchange Commission. The environmental variables are partially from China Stock Market &amp; Accounting Research Database (https://cn.gtadata.com) and National Bureau of Statistics (http://www.stats.gov.cn). The time span of sample selection is 2007-2025. Due to the late listing of some companies and the availability of other relevant data, 51 listed companies were finally selected as the study sample.</w:t>
      </w:r>
    </w:p>
    <w:p w14:paraId="08AF72F0">
      <w:pPr>
        <w:pStyle w:val="51"/>
        <w:spacing w:before="240" w:line="360" w:lineRule="auto"/>
        <w:ind w:left="0"/>
        <w:rPr>
          <w:rFonts w:ascii="Times New Roman" w:hAnsi="Times New Roman"/>
          <w:color w:val="auto"/>
        </w:rPr>
      </w:pPr>
      <w:bookmarkStart w:id="3" w:name="_Hlk108110810"/>
      <w:r>
        <w:rPr>
          <w:rFonts w:ascii="Times New Roman" w:hAnsi="Times New Roman"/>
          <w:color w:val="auto"/>
        </w:rPr>
        <w:t>4.2. Evaluation on total factor productivity</w:t>
      </w:r>
      <w:bookmarkEnd w:id="3"/>
    </w:p>
    <w:p w14:paraId="6DB157B8">
      <w:pPr>
        <w:pStyle w:val="35"/>
        <w:spacing w:line="360" w:lineRule="auto"/>
        <w:ind w:left="0"/>
        <w:rPr>
          <w:rFonts w:ascii="Times New Roman" w:hAnsi="Times New Roman"/>
          <w:color w:val="auto"/>
        </w:rPr>
      </w:pPr>
      <w:r>
        <w:rPr>
          <w:rFonts w:ascii="Times New Roman" w:hAnsi="Times New Roman"/>
          <w:color w:val="auto"/>
        </w:rPr>
        <w:t>After removing the effects of environmental factors and statistical noise with SFA model, the MI and CM index of 51 sample retail companies was calculated again using MaxDEA software. Table 2. shows the results of MI, CM index and decomposition indices during the period 2007-2025. After adjusting in stage two and recalculating in this stage, the empirical results are significantly different from the results in stage one. The 19-year geomean MI value for 51 sampled retail companies increased from less than 1 to more than 1. However, the value of the CM index has decreased from 1.1352 to 1.0954, which means that MI was undervalued and CM was overvalued before the adjustment. The values of other indices including OEC, CTC, AEC, PE, TEC, TC, PTEC and SEC also changed. Unlike the pre-adjustment results, the adjusted results show that TFP changes mainly stem from changes in scale efficiency (3.19%), followed by changes in technical efficiency (2.77%), with technological progress remaining almost unchanged and PTEC remaining a factor pulling down productivity (-0.47%). It is clear that CM is significantly improved by APE and SEC after re-measuring in stage three. In other words, APE and SEC are the major factors that make the value of CM more than 1. The results are discussed at overall level and company-level.</w:t>
      </w:r>
    </w:p>
    <w:p w14:paraId="026B5326">
      <w:pPr>
        <w:pStyle w:val="35"/>
        <w:spacing w:line="360" w:lineRule="auto"/>
        <w:ind w:left="0"/>
        <w:rPr>
          <w:rFonts w:ascii="Times New Roman" w:hAnsi="Times New Roman"/>
          <w:color w:val="auto"/>
        </w:rPr>
      </w:pPr>
    </w:p>
    <w:p w14:paraId="7C5B3079">
      <w:pPr>
        <w:pStyle w:val="35"/>
        <w:spacing w:line="360" w:lineRule="auto"/>
        <w:ind w:left="0"/>
        <w:rPr>
          <w:rFonts w:ascii="Times New Roman" w:hAnsi="Times New Roman"/>
          <w:color w:val="auto"/>
        </w:rPr>
      </w:pPr>
    </w:p>
    <w:p w14:paraId="0DF0FF5E">
      <w:pPr>
        <w:pStyle w:val="35"/>
        <w:spacing w:line="360" w:lineRule="auto"/>
        <w:ind w:left="0"/>
        <w:rPr>
          <w:rFonts w:ascii="Times New Roman" w:hAnsi="Times New Roman"/>
          <w:color w:val="auto"/>
        </w:rPr>
      </w:pPr>
    </w:p>
    <w:p w14:paraId="7163E7D1">
      <w:pPr>
        <w:pStyle w:val="35"/>
        <w:spacing w:line="360" w:lineRule="auto"/>
        <w:ind w:left="0"/>
        <w:rPr>
          <w:rFonts w:ascii="Times New Roman" w:hAnsi="Times New Roman"/>
          <w:color w:val="auto"/>
        </w:rPr>
      </w:pPr>
    </w:p>
    <w:p w14:paraId="45DADC7B">
      <w:pPr>
        <w:pStyle w:val="35"/>
        <w:spacing w:line="360" w:lineRule="auto"/>
        <w:ind w:left="0"/>
        <w:rPr>
          <w:rFonts w:ascii="Times New Roman" w:hAnsi="Times New Roman"/>
          <w:color w:val="auto"/>
        </w:rPr>
      </w:pPr>
    </w:p>
    <w:p w14:paraId="0DB877B7">
      <w:pPr>
        <w:pStyle w:val="35"/>
        <w:spacing w:line="360" w:lineRule="auto"/>
        <w:ind w:left="0"/>
        <w:rPr>
          <w:rFonts w:ascii="Times New Roman" w:hAnsi="Times New Roman"/>
          <w:color w:val="auto"/>
        </w:rPr>
      </w:pPr>
    </w:p>
    <w:p w14:paraId="35E97897">
      <w:pPr>
        <w:pStyle w:val="97"/>
        <w:spacing w:line="360" w:lineRule="auto"/>
        <w:jc w:val="center"/>
        <w:rPr>
          <w:rFonts w:cs="Times New Roman"/>
        </w:rPr>
      </w:pPr>
      <w:bookmarkStart w:id="4" w:name="_Ref98768457"/>
      <w:bookmarkStart w:id="5" w:name="_Toc97224678"/>
      <w:bookmarkStart w:id="6" w:name="_Toc97219125"/>
      <w:bookmarkStart w:id="7" w:name="_Toc103106463"/>
      <w:bookmarkStart w:id="8" w:name="_Toc102569290"/>
      <w:r>
        <w:rPr>
          <w:rFonts w:cs="Times New Roman"/>
        </w:rPr>
        <w:t>Tabl</w:t>
      </w:r>
      <w:bookmarkEnd w:id="4"/>
      <w:r>
        <w:rPr>
          <w:rFonts w:cs="Times New Roman"/>
        </w:rPr>
        <w:t xml:space="preserve">e 2. </w:t>
      </w:r>
      <w:bookmarkEnd w:id="5"/>
      <w:bookmarkEnd w:id="6"/>
      <w:r>
        <w:rPr>
          <w:rFonts w:cs="Times New Roman"/>
        </w:rPr>
        <w:t>Annual average TFP index results and decomposition</w:t>
      </w:r>
      <w:bookmarkEnd w:id="7"/>
      <w:bookmarkEnd w:id="8"/>
    </w:p>
    <w:tbl>
      <w:tblPr>
        <w:tblStyle w:val="14"/>
        <w:tblW w:w="5000" w:type="pct"/>
        <w:tblInd w:w="0" w:type="dxa"/>
        <w:tblLayout w:type="autofit"/>
        <w:tblCellMar>
          <w:top w:w="0" w:type="dxa"/>
          <w:left w:w="108" w:type="dxa"/>
          <w:bottom w:w="0" w:type="dxa"/>
          <w:right w:w="108" w:type="dxa"/>
        </w:tblCellMar>
      </w:tblPr>
      <w:tblGrid>
        <w:gridCol w:w="1304"/>
        <w:gridCol w:w="938"/>
        <w:gridCol w:w="938"/>
        <w:gridCol w:w="938"/>
        <w:gridCol w:w="938"/>
        <w:gridCol w:w="938"/>
        <w:gridCol w:w="938"/>
        <w:gridCol w:w="938"/>
        <w:gridCol w:w="938"/>
        <w:gridCol w:w="938"/>
        <w:gridCol w:w="936"/>
      </w:tblGrid>
      <w:tr w14:paraId="527ECB91">
        <w:tblPrEx>
          <w:tblCellMar>
            <w:top w:w="0" w:type="dxa"/>
            <w:left w:w="108" w:type="dxa"/>
            <w:bottom w:w="0" w:type="dxa"/>
            <w:right w:w="108" w:type="dxa"/>
          </w:tblCellMar>
        </w:tblPrEx>
        <w:trPr>
          <w:trHeight w:val="288" w:hRule="atLeast"/>
          <w:tblHeader/>
        </w:trPr>
        <w:tc>
          <w:tcPr>
            <w:tcW w:w="611" w:type="pct"/>
            <w:tcBorders>
              <w:top w:val="thinThickSmallGap" w:color="auto" w:sz="12" w:space="0"/>
              <w:bottom w:val="single" w:color="auto" w:sz="4" w:space="0"/>
            </w:tcBorders>
            <w:noWrap/>
            <w:vAlign w:val="center"/>
          </w:tcPr>
          <w:p w14:paraId="4EDA0D32">
            <w:pPr>
              <w:pStyle w:val="93"/>
              <w:spacing w:line="360" w:lineRule="auto"/>
              <w:jc w:val="center"/>
              <w:rPr>
                <w:rFonts w:cs="Times New Roman"/>
                <w:sz w:val="20"/>
                <w:szCs w:val="20"/>
              </w:rPr>
            </w:pPr>
            <w:r>
              <w:rPr>
                <w:rFonts w:cs="Times New Roman"/>
                <w:sz w:val="20"/>
                <w:szCs w:val="20"/>
              </w:rPr>
              <w:t>Year</w:t>
            </w:r>
          </w:p>
        </w:tc>
        <w:tc>
          <w:tcPr>
            <w:tcW w:w="439" w:type="pct"/>
            <w:tcBorders>
              <w:top w:val="thinThickSmallGap" w:color="auto" w:sz="12" w:space="0"/>
              <w:bottom w:val="single" w:color="auto" w:sz="4" w:space="0"/>
            </w:tcBorders>
            <w:noWrap/>
            <w:vAlign w:val="center"/>
          </w:tcPr>
          <w:p w14:paraId="1E392037">
            <w:pPr>
              <w:pStyle w:val="95"/>
              <w:spacing w:line="360" w:lineRule="auto"/>
              <w:rPr>
                <w:rFonts w:cs="Times New Roman"/>
                <w:sz w:val="20"/>
                <w:szCs w:val="20"/>
              </w:rPr>
            </w:pPr>
            <w:r>
              <w:rPr>
                <w:rFonts w:cs="Times New Roman"/>
                <w:sz w:val="20"/>
                <w:szCs w:val="20"/>
              </w:rPr>
              <w:t>CM</w:t>
            </w:r>
          </w:p>
        </w:tc>
        <w:tc>
          <w:tcPr>
            <w:tcW w:w="439" w:type="pct"/>
            <w:tcBorders>
              <w:top w:val="thinThickSmallGap" w:color="auto" w:sz="12" w:space="0"/>
              <w:bottom w:val="single" w:color="auto" w:sz="4" w:space="0"/>
            </w:tcBorders>
            <w:noWrap/>
            <w:vAlign w:val="center"/>
          </w:tcPr>
          <w:p w14:paraId="1095AAC9">
            <w:pPr>
              <w:pStyle w:val="95"/>
              <w:spacing w:line="360" w:lineRule="auto"/>
              <w:rPr>
                <w:rFonts w:cs="Times New Roman"/>
                <w:sz w:val="20"/>
                <w:szCs w:val="20"/>
              </w:rPr>
            </w:pPr>
            <w:r>
              <w:rPr>
                <w:rFonts w:cs="Times New Roman"/>
                <w:sz w:val="20"/>
                <w:szCs w:val="20"/>
              </w:rPr>
              <w:t>OEC</w:t>
            </w:r>
          </w:p>
        </w:tc>
        <w:tc>
          <w:tcPr>
            <w:tcW w:w="439" w:type="pct"/>
            <w:tcBorders>
              <w:top w:val="thinThickSmallGap" w:color="auto" w:sz="12" w:space="0"/>
              <w:bottom w:val="single" w:color="auto" w:sz="4" w:space="0"/>
            </w:tcBorders>
            <w:noWrap/>
            <w:vAlign w:val="center"/>
          </w:tcPr>
          <w:p w14:paraId="58C59B76">
            <w:pPr>
              <w:pStyle w:val="95"/>
              <w:spacing w:line="360" w:lineRule="auto"/>
              <w:rPr>
                <w:rFonts w:cs="Times New Roman"/>
                <w:sz w:val="20"/>
                <w:szCs w:val="20"/>
              </w:rPr>
            </w:pPr>
            <w:r>
              <w:rPr>
                <w:rFonts w:cs="Times New Roman"/>
                <w:sz w:val="20"/>
                <w:szCs w:val="20"/>
              </w:rPr>
              <w:t>CTC</w:t>
            </w:r>
          </w:p>
        </w:tc>
        <w:tc>
          <w:tcPr>
            <w:tcW w:w="439" w:type="pct"/>
            <w:tcBorders>
              <w:top w:val="thinThickSmallGap" w:color="auto" w:sz="12" w:space="0"/>
              <w:bottom w:val="single" w:color="auto" w:sz="4" w:space="0"/>
            </w:tcBorders>
            <w:noWrap/>
            <w:vAlign w:val="center"/>
          </w:tcPr>
          <w:p w14:paraId="2FE9F1C8">
            <w:pPr>
              <w:pStyle w:val="95"/>
              <w:spacing w:line="360" w:lineRule="auto"/>
              <w:rPr>
                <w:rFonts w:cs="Times New Roman"/>
                <w:sz w:val="20"/>
                <w:szCs w:val="20"/>
              </w:rPr>
            </w:pPr>
            <w:r>
              <w:rPr>
                <w:rFonts w:cs="Times New Roman"/>
                <w:sz w:val="20"/>
                <w:szCs w:val="20"/>
              </w:rPr>
              <w:t>AEC</w:t>
            </w:r>
          </w:p>
        </w:tc>
        <w:tc>
          <w:tcPr>
            <w:tcW w:w="439" w:type="pct"/>
            <w:tcBorders>
              <w:top w:val="thinThickSmallGap" w:color="auto" w:sz="12" w:space="0"/>
              <w:bottom w:val="single" w:color="auto" w:sz="4" w:space="0"/>
            </w:tcBorders>
            <w:noWrap/>
            <w:vAlign w:val="center"/>
          </w:tcPr>
          <w:p w14:paraId="3CED5F6C">
            <w:pPr>
              <w:pStyle w:val="95"/>
              <w:spacing w:line="360" w:lineRule="auto"/>
              <w:rPr>
                <w:rFonts w:cs="Times New Roman"/>
                <w:sz w:val="20"/>
                <w:szCs w:val="20"/>
              </w:rPr>
            </w:pPr>
            <w:r>
              <w:rPr>
                <w:rFonts w:cs="Times New Roman"/>
                <w:sz w:val="20"/>
                <w:szCs w:val="20"/>
              </w:rPr>
              <w:t>PE</w:t>
            </w:r>
          </w:p>
        </w:tc>
        <w:tc>
          <w:tcPr>
            <w:tcW w:w="439" w:type="pct"/>
            <w:tcBorders>
              <w:top w:val="thinThickSmallGap" w:color="auto" w:sz="12" w:space="0"/>
              <w:bottom w:val="single" w:color="auto" w:sz="4" w:space="0"/>
            </w:tcBorders>
            <w:noWrap/>
            <w:vAlign w:val="center"/>
          </w:tcPr>
          <w:p w14:paraId="79727CEF">
            <w:pPr>
              <w:pStyle w:val="95"/>
              <w:spacing w:line="360" w:lineRule="auto"/>
              <w:rPr>
                <w:rFonts w:cs="Times New Roman"/>
                <w:sz w:val="20"/>
                <w:szCs w:val="20"/>
              </w:rPr>
            </w:pPr>
            <w:r>
              <w:rPr>
                <w:rFonts w:cs="Times New Roman"/>
                <w:sz w:val="20"/>
                <w:szCs w:val="20"/>
              </w:rPr>
              <w:t>MI</w:t>
            </w:r>
          </w:p>
        </w:tc>
        <w:tc>
          <w:tcPr>
            <w:tcW w:w="439" w:type="pct"/>
            <w:tcBorders>
              <w:top w:val="thinThickSmallGap" w:color="auto" w:sz="12" w:space="0"/>
              <w:bottom w:val="single" w:color="auto" w:sz="4" w:space="0"/>
            </w:tcBorders>
            <w:noWrap/>
            <w:vAlign w:val="center"/>
          </w:tcPr>
          <w:p w14:paraId="382FE0B3">
            <w:pPr>
              <w:pStyle w:val="93"/>
              <w:spacing w:line="360" w:lineRule="auto"/>
              <w:jc w:val="center"/>
              <w:rPr>
                <w:rFonts w:cs="Times New Roman"/>
                <w:sz w:val="20"/>
                <w:szCs w:val="20"/>
              </w:rPr>
            </w:pPr>
            <w:r>
              <w:rPr>
                <w:rFonts w:cs="Times New Roman"/>
                <w:sz w:val="20"/>
                <w:szCs w:val="20"/>
              </w:rPr>
              <w:t>TEC</w:t>
            </w:r>
          </w:p>
        </w:tc>
        <w:tc>
          <w:tcPr>
            <w:tcW w:w="439" w:type="pct"/>
            <w:tcBorders>
              <w:top w:val="thinThickSmallGap" w:color="auto" w:sz="12" w:space="0"/>
              <w:bottom w:val="single" w:color="auto" w:sz="4" w:space="0"/>
            </w:tcBorders>
            <w:noWrap/>
            <w:vAlign w:val="center"/>
          </w:tcPr>
          <w:p w14:paraId="1FCC00E1">
            <w:pPr>
              <w:pStyle w:val="93"/>
              <w:spacing w:line="360" w:lineRule="auto"/>
              <w:jc w:val="center"/>
              <w:rPr>
                <w:rFonts w:cs="Times New Roman"/>
                <w:sz w:val="20"/>
                <w:szCs w:val="20"/>
              </w:rPr>
            </w:pPr>
            <w:r>
              <w:rPr>
                <w:rFonts w:cs="Times New Roman"/>
                <w:sz w:val="20"/>
                <w:szCs w:val="20"/>
              </w:rPr>
              <w:t>TC</w:t>
            </w:r>
          </w:p>
        </w:tc>
        <w:tc>
          <w:tcPr>
            <w:tcW w:w="439" w:type="pct"/>
            <w:tcBorders>
              <w:top w:val="thinThickSmallGap" w:color="auto" w:sz="12" w:space="0"/>
              <w:bottom w:val="single" w:color="auto" w:sz="4" w:space="0"/>
            </w:tcBorders>
            <w:noWrap/>
            <w:vAlign w:val="center"/>
          </w:tcPr>
          <w:p w14:paraId="704A8703">
            <w:pPr>
              <w:pStyle w:val="93"/>
              <w:spacing w:line="360" w:lineRule="auto"/>
              <w:jc w:val="center"/>
              <w:rPr>
                <w:rFonts w:cs="Times New Roman"/>
                <w:sz w:val="20"/>
                <w:szCs w:val="20"/>
              </w:rPr>
            </w:pPr>
            <w:r>
              <w:rPr>
                <w:rFonts w:cs="Times New Roman"/>
                <w:sz w:val="20"/>
                <w:szCs w:val="20"/>
              </w:rPr>
              <w:t>PTEC</w:t>
            </w:r>
          </w:p>
        </w:tc>
        <w:tc>
          <w:tcPr>
            <w:tcW w:w="438" w:type="pct"/>
            <w:tcBorders>
              <w:top w:val="thinThickSmallGap" w:color="auto" w:sz="12" w:space="0"/>
              <w:bottom w:val="single" w:color="auto" w:sz="4" w:space="0"/>
            </w:tcBorders>
            <w:noWrap/>
            <w:vAlign w:val="center"/>
          </w:tcPr>
          <w:p w14:paraId="762A5EAB">
            <w:pPr>
              <w:pStyle w:val="93"/>
              <w:spacing w:line="360" w:lineRule="auto"/>
              <w:jc w:val="center"/>
              <w:rPr>
                <w:rFonts w:cs="Times New Roman"/>
                <w:sz w:val="20"/>
                <w:szCs w:val="20"/>
              </w:rPr>
            </w:pPr>
            <w:r>
              <w:rPr>
                <w:rFonts w:cs="Times New Roman"/>
                <w:sz w:val="20"/>
                <w:szCs w:val="20"/>
              </w:rPr>
              <w:t>SEC</w:t>
            </w:r>
          </w:p>
        </w:tc>
      </w:tr>
      <w:tr w14:paraId="7B16CB14">
        <w:tblPrEx>
          <w:tblCellMar>
            <w:top w:w="0" w:type="dxa"/>
            <w:left w:w="108" w:type="dxa"/>
            <w:bottom w:w="0" w:type="dxa"/>
            <w:right w:w="108" w:type="dxa"/>
          </w:tblCellMar>
        </w:tblPrEx>
        <w:trPr>
          <w:trHeight w:val="288" w:hRule="atLeast"/>
          <w:tblHeader/>
        </w:trPr>
        <w:tc>
          <w:tcPr>
            <w:tcW w:w="611" w:type="pct"/>
            <w:tcBorders>
              <w:top w:val="single" w:color="auto" w:sz="4" w:space="0"/>
            </w:tcBorders>
            <w:noWrap/>
            <w:vAlign w:val="center"/>
          </w:tcPr>
          <w:p w14:paraId="655466D8">
            <w:pPr>
              <w:pStyle w:val="93"/>
              <w:spacing w:line="360" w:lineRule="auto"/>
              <w:jc w:val="center"/>
              <w:rPr>
                <w:rFonts w:cs="Times New Roman"/>
                <w:sz w:val="20"/>
                <w:szCs w:val="20"/>
              </w:rPr>
            </w:pPr>
            <w:r>
              <w:rPr>
                <w:rFonts w:cs="Times New Roman"/>
                <w:sz w:val="20"/>
                <w:szCs w:val="20"/>
              </w:rPr>
              <w:t>2007-2008</w:t>
            </w:r>
          </w:p>
        </w:tc>
        <w:tc>
          <w:tcPr>
            <w:tcW w:w="439" w:type="pct"/>
            <w:tcBorders>
              <w:top w:val="single" w:color="auto" w:sz="4" w:space="0"/>
            </w:tcBorders>
            <w:noWrap/>
            <w:vAlign w:val="center"/>
          </w:tcPr>
          <w:p w14:paraId="71FA5F42">
            <w:pPr>
              <w:pStyle w:val="95"/>
              <w:spacing w:line="360" w:lineRule="auto"/>
              <w:rPr>
                <w:rFonts w:cs="Times New Roman"/>
                <w:sz w:val="20"/>
                <w:szCs w:val="20"/>
              </w:rPr>
            </w:pPr>
            <w:r>
              <w:rPr>
                <w:rFonts w:cs="Times New Roman"/>
                <w:sz w:val="20"/>
                <w:szCs w:val="20"/>
              </w:rPr>
              <w:t>1.1135</w:t>
            </w:r>
          </w:p>
        </w:tc>
        <w:tc>
          <w:tcPr>
            <w:tcW w:w="439" w:type="pct"/>
            <w:tcBorders>
              <w:top w:val="single" w:color="auto" w:sz="4" w:space="0"/>
            </w:tcBorders>
            <w:noWrap/>
            <w:vAlign w:val="center"/>
          </w:tcPr>
          <w:p w14:paraId="2D254B4F">
            <w:pPr>
              <w:pStyle w:val="95"/>
              <w:spacing w:line="360" w:lineRule="auto"/>
              <w:rPr>
                <w:rFonts w:cs="Times New Roman"/>
                <w:sz w:val="20"/>
                <w:szCs w:val="20"/>
              </w:rPr>
            </w:pPr>
            <w:r>
              <w:rPr>
                <w:rFonts w:cs="Times New Roman"/>
                <w:sz w:val="20"/>
                <w:szCs w:val="20"/>
              </w:rPr>
              <w:t>1.2525</w:t>
            </w:r>
          </w:p>
        </w:tc>
        <w:tc>
          <w:tcPr>
            <w:tcW w:w="439" w:type="pct"/>
            <w:tcBorders>
              <w:top w:val="single" w:color="auto" w:sz="4" w:space="0"/>
            </w:tcBorders>
            <w:noWrap/>
            <w:vAlign w:val="center"/>
          </w:tcPr>
          <w:p w14:paraId="0AC6D192">
            <w:pPr>
              <w:pStyle w:val="95"/>
              <w:spacing w:line="360" w:lineRule="auto"/>
              <w:rPr>
                <w:rFonts w:cs="Times New Roman"/>
                <w:sz w:val="20"/>
                <w:szCs w:val="20"/>
              </w:rPr>
            </w:pPr>
            <w:r>
              <w:rPr>
                <w:rFonts w:cs="Times New Roman"/>
                <w:sz w:val="20"/>
                <w:szCs w:val="20"/>
              </w:rPr>
              <w:t>0.9046</w:t>
            </w:r>
          </w:p>
        </w:tc>
        <w:tc>
          <w:tcPr>
            <w:tcW w:w="439" w:type="pct"/>
            <w:tcBorders>
              <w:top w:val="single" w:color="auto" w:sz="4" w:space="0"/>
            </w:tcBorders>
            <w:noWrap/>
            <w:vAlign w:val="center"/>
          </w:tcPr>
          <w:p w14:paraId="0862868A">
            <w:pPr>
              <w:pStyle w:val="95"/>
              <w:spacing w:line="360" w:lineRule="auto"/>
              <w:rPr>
                <w:rFonts w:cs="Times New Roman"/>
                <w:sz w:val="20"/>
                <w:szCs w:val="20"/>
              </w:rPr>
            </w:pPr>
            <w:r>
              <w:rPr>
                <w:rFonts w:cs="Times New Roman"/>
                <w:sz w:val="20"/>
                <w:szCs w:val="20"/>
              </w:rPr>
              <w:t>1.1842</w:t>
            </w:r>
          </w:p>
        </w:tc>
        <w:tc>
          <w:tcPr>
            <w:tcW w:w="439" w:type="pct"/>
            <w:tcBorders>
              <w:top w:val="single" w:color="auto" w:sz="4" w:space="0"/>
            </w:tcBorders>
            <w:noWrap/>
            <w:vAlign w:val="center"/>
          </w:tcPr>
          <w:p w14:paraId="46D00DF6">
            <w:pPr>
              <w:pStyle w:val="95"/>
              <w:spacing w:line="360" w:lineRule="auto"/>
              <w:rPr>
                <w:rFonts w:cs="Times New Roman"/>
                <w:sz w:val="20"/>
                <w:szCs w:val="20"/>
              </w:rPr>
            </w:pPr>
            <w:r>
              <w:rPr>
                <w:rFonts w:cs="Times New Roman"/>
                <w:sz w:val="20"/>
                <w:szCs w:val="20"/>
              </w:rPr>
              <w:t>0.9594</w:t>
            </w:r>
          </w:p>
        </w:tc>
        <w:tc>
          <w:tcPr>
            <w:tcW w:w="439" w:type="pct"/>
            <w:tcBorders>
              <w:top w:val="single" w:color="auto" w:sz="4" w:space="0"/>
            </w:tcBorders>
            <w:noWrap/>
            <w:vAlign w:val="center"/>
          </w:tcPr>
          <w:p w14:paraId="36B46831">
            <w:pPr>
              <w:pStyle w:val="95"/>
              <w:spacing w:line="360" w:lineRule="auto"/>
              <w:rPr>
                <w:rFonts w:cs="Times New Roman"/>
                <w:sz w:val="20"/>
                <w:szCs w:val="20"/>
              </w:rPr>
            </w:pPr>
            <w:r>
              <w:rPr>
                <w:rFonts w:cs="Times New Roman"/>
                <w:sz w:val="20"/>
                <w:szCs w:val="20"/>
              </w:rPr>
              <w:t>1.0086</w:t>
            </w:r>
          </w:p>
        </w:tc>
        <w:tc>
          <w:tcPr>
            <w:tcW w:w="439" w:type="pct"/>
            <w:tcBorders>
              <w:top w:val="single" w:color="auto" w:sz="4" w:space="0"/>
            </w:tcBorders>
            <w:noWrap/>
            <w:vAlign w:val="center"/>
          </w:tcPr>
          <w:p w14:paraId="420DE0C4">
            <w:pPr>
              <w:pStyle w:val="93"/>
              <w:spacing w:line="360" w:lineRule="auto"/>
              <w:jc w:val="center"/>
              <w:rPr>
                <w:rFonts w:cs="Times New Roman"/>
                <w:sz w:val="20"/>
                <w:szCs w:val="20"/>
              </w:rPr>
            </w:pPr>
            <w:r>
              <w:rPr>
                <w:rFonts w:cs="Times New Roman"/>
                <w:sz w:val="20"/>
                <w:szCs w:val="20"/>
              </w:rPr>
              <w:t>1.0674</w:t>
            </w:r>
          </w:p>
        </w:tc>
        <w:tc>
          <w:tcPr>
            <w:tcW w:w="439" w:type="pct"/>
            <w:tcBorders>
              <w:top w:val="single" w:color="auto" w:sz="4" w:space="0"/>
            </w:tcBorders>
            <w:noWrap/>
            <w:vAlign w:val="center"/>
          </w:tcPr>
          <w:p w14:paraId="29748530">
            <w:pPr>
              <w:pStyle w:val="93"/>
              <w:spacing w:line="360" w:lineRule="auto"/>
              <w:jc w:val="center"/>
              <w:rPr>
                <w:rFonts w:cs="Times New Roman"/>
                <w:sz w:val="20"/>
                <w:szCs w:val="20"/>
              </w:rPr>
            </w:pPr>
            <w:r>
              <w:rPr>
                <w:rFonts w:cs="Times New Roman"/>
                <w:sz w:val="20"/>
                <w:szCs w:val="20"/>
              </w:rPr>
              <w:t>0.9644</w:t>
            </w:r>
          </w:p>
        </w:tc>
        <w:tc>
          <w:tcPr>
            <w:tcW w:w="439" w:type="pct"/>
            <w:tcBorders>
              <w:top w:val="single" w:color="auto" w:sz="4" w:space="0"/>
            </w:tcBorders>
            <w:noWrap/>
            <w:vAlign w:val="center"/>
          </w:tcPr>
          <w:p w14:paraId="76264EF0">
            <w:pPr>
              <w:pStyle w:val="93"/>
              <w:spacing w:line="360" w:lineRule="auto"/>
              <w:jc w:val="center"/>
              <w:rPr>
                <w:rFonts w:cs="Times New Roman"/>
                <w:sz w:val="20"/>
                <w:szCs w:val="20"/>
              </w:rPr>
            </w:pPr>
            <w:r>
              <w:rPr>
                <w:rFonts w:cs="Times New Roman"/>
                <w:sz w:val="20"/>
                <w:szCs w:val="20"/>
              </w:rPr>
              <w:t>0.9821</w:t>
            </w:r>
          </w:p>
        </w:tc>
        <w:tc>
          <w:tcPr>
            <w:tcW w:w="438" w:type="pct"/>
            <w:tcBorders>
              <w:top w:val="single" w:color="auto" w:sz="4" w:space="0"/>
            </w:tcBorders>
            <w:noWrap/>
            <w:vAlign w:val="center"/>
          </w:tcPr>
          <w:p w14:paraId="36AF387C">
            <w:pPr>
              <w:pStyle w:val="93"/>
              <w:spacing w:line="360" w:lineRule="auto"/>
              <w:jc w:val="center"/>
              <w:rPr>
                <w:rFonts w:cs="Times New Roman"/>
                <w:sz w:val="20"/>
                <w:szCs w:val="20"/>
              </w:rPr>
            </w:pPr>
            <w:r>
              <w:rPr>
                <w:rFonts w:cs="Times New Roman"/>
                <w:sz w:val="20"/>
                <w:szCs w:val="20"/>
              </w:rPr>
              <w:t>1.0851</w:t>
            </w:r>
          </w:p>
        </w:tc>
      </w:tr>
      <w:tr w14:paraId="71FB68E9">
        <w:tblPrEx>
          <w:tblCellMar>
            <w:top w:w="0" w:type="dxa"/>
            <w:left w:w="108" w:type="dxa"/>
            <w:bottom w:w="0" w:type="dxa"/>
            <w:right w:w="108" w:type="dxa"/>
          </w:tblCellMar>
        </w:tblPrEx>
        <w:trPr>
          <w:trHeight w:val="288" w:hRule="atLeast"/>
          <w:tblHeader/>
        </w:trPr>
        <w:tc>
          <w:tcPr>
            <w:tcW w:w="611" w:type="pct"/>
            <w:noWrap/>
            <w:vAlign w:val="center"/>
          </w:tcPr>
          <w:p w14:paraId="3479BCE5">
            <w:pPr>
              <w:pStyle w:val="93"/>
              <w:spacing w:line="360" w:lineRule="auto"/>
              <w:jc w:val="center"/>
              <w:rPr>
                <w:rFonts w:cs="Times New Roman"/>
                <w:sz w:val="20"/>
                <w:szCs w:val="20"/>
              </w:rPr>
            </w:pPr>
            <w:r>
              <w:rPr>
                <w:rFonts w:cs="Times New Roman"/>
                <w:sz w:val="20"/>
                <w:szCs w:val="20"/>
              </w:rPr>
              <w:t>2008-2009</w:t>
            </w:r>
          </w:p>
        </w:tc>
        <w:tc>
          <w:tcPr>
            <w:tcW w:w="439" w:type="pct"/>
            <w:noWrap/>
            <w:vAlign w:val="center"/>
          </w:tcPr>
          <w:p w14:paraId="3D507622">
            <w:pPr>
              <w:pStyle w:val="95"/>
              <w:spacing w:line="360" w:lineRule="auto"/>
              <w:rPr>
                <w:rFonts w:cs="Times New Roman"/>
                <w:sz w:val="20"/>
                <w:szCs w:val="20"/>
              </w:rPr>
            </w:pPr>
            <w:r>
              <w:rPr>
                <w:rFonts w:cs="Times New Roman"/>
                <w:sz w:val="20"/>
                <w:szCs w:val="20"/>
              </w:rPr>
              <w:t>1.2247</w:t>
            </w:r>
          </w:p>
        </w:tc>
        <w:tc>
          <w:tcPr>
            <w:tcW w:w="439" w:type="pct"/>
            <w:noWrap/>
            <w:vAlign w:val="center"/>
          </w:tcPr>
          <w:p w14:paraId="52D0C121">
            <w:pPr>
              <w:pStyle w:val="95"/>
              <w:spacing w:line="360" w:lineRule="auto"/>
              <w:rPr>
                <w:rFonts w:cs="Times New Roman"/>
                <w:sz w:val="20"/>
                <w:szCs w:val="20"/>
              </w:rPr>
            </w:pPr>
            <w:r>
              <w:rPr>
                <w:rFonts w:cs="Times New Roman"/>
                <w:sz w:val="20"/>
                <w:szCs w:val="20"/>
              </w:rPr>
              <w:t>1.0974</w:t>
            </w:r>
          </w:p>
        </w:tc>
        <w:tc>
          <w:tcPr>
            <w:tcW w:w="439" w:type="pct"/>
            <w:noWrap/>
            <w:vAlign w:val="center"/>
          </w:tcPr>
          <w:p w14:paraId="2D8DF378">
            <w:pPr>
              <w:pStyle w:val="95"/>
              <w:spacing w:line="360" w:lineRule="auto"/>
              <w:rPr>
                <w:rFonts w:cs="Times New Roman"/>
                <w:sz w:val="20"/>
                <w:szCs w:val="20"/>
              </w:rPr>
            </w:pPr>
            <w:r>
              <w:rPr>
                <w:rFonts w:cs="Times New Roman"/>
                <w:sz w:val="20"/>
                <w:szCs w:val="20"/>
              </w:rPr>
              <w:t>1.1279</w:t>
            </w:r>
          </w:p>
        </w:tc>
        <w:tc>
          <w:tcPr>
            <w:tcW w:w="439" w:type="pct"/>
            <w:noWrap/>
            <w:vAlign w:val="center"/>
          </w:tcPr>
          <w:p w14:paraId="39C20C53">
            <w:pPr>
              <w:pStyle w:val="95"/>
              <w:spacing w:line="360" w:lineRule="auto"/>
              <w:rPr>
                <w:rFonts w:cs="Times New Roman"/>
                <w:sz w:val="20"/>
                <w:szCs w:val="20"/>
              </w:rPr>
            </w:pPr>
            <w:r>
              <w:rPr>
                <w:rFonts w:cs="Times New Roman"/>
                <w:sz w:val="20"/>
                <w:szCs w:val="20"/>
              </w:rPr>
              <w:t>1.0186</w:t>
            </w:r>
          </w:p>
        </w:tc>
        <w:tc>
          <w:tcPr>
            <w:tcW w:w="439" w:type="pct"/>
            <w:noWrap/>
            <w:vAlign w:val="center"/>
          </w:tcPr>
          <w:p w14:paraId="645F9BCD">
            <w:pPr>
              <w:pStyle w:val="95"/>
              <w:spacing w:line="360" w:lineRule="auto"/>
              <w:rPr>
                <w:rFonts w:cs="Times New Roman"/>
                <w:sz w:val="20"/>
                <w:szCs w:val="20"/>
              </w:rPr>
            </w:pPr>
            <w:r>
              <w:rPr>
                <w:rFonts w:cs="Times New Roman"/>
                <w:sz w:val="20"/>
                <w:szCs w:val="20"/>
              </w:rPr>
              <w:t>1.1200</w:t>
            </w:r>
          </w:p>
        </w:tc>
        <w:tc>
          <w:tcPr>
            <w:tcW w:w="439" w:type="pct"/>
            <w:noWrap/>
            <w:vAlign w:val="center"/>
          </w:tcPr>
          <w:p w14:paraId="42E8E489">
            <w:pPr>
              <w:pStyle w:val="95"/>
              <w:spacing w:line="360" w:lineRule="auto"/>
              <w:rPr>
                <w:rFonts w:cs="Times New Roman"/>
                <w:sz w:val="20"/>
                <w:szCs w:val="20"/>
              </w:rPr>
            </w:pPr>
            <w:r>
              <w:rPr>
                <w:rFonts w:cs="Times New Roman"/>
                <w:sz w:val="20"/>
                <w:szCs w:val="20"/>
              </w:rPr>
              <w:t>1.0843</w:t>
            </w:r>
          </w:p>
        </w:tc>
        <w:tc>
          <w:tcPr>
            <w:tcW w:w="439" w:type="pct"/>
            <w:noWrap/>
            <w:vAlign w:val="center"/>
          </w:tcPr>
          <w:p w14:paraId="7B94262C">
            <w:pPr>
              <w:pStyle w:val="93"/>
              <w:spacing w:line="360" w:lineRule="auto"/>
              <w:jc w:val="center"/>
              <w:rPr>
                <w:rFonts w:cs="Times New Roman"/>
                <w:sz w:val="20"/>
                <w:szCs w:val="20"/>
              </w:rPr>
            </w:pPr>
            <w:r>
              <w:rPr>
                <w:rFonts w:cs="Times New Roman"/>
                <w:sz w:val="20"/>
                <w:szCs w:val="20"/>
              </w:rPr>
              <w:t>1.0729</w:t>
            </w:r>
          </w:p>
        </w:tc>
        <w:tc>
          <w:tcPr>
            <w:tcW w:w="439" w:type="pct"/>
            <w:noWrap/>
            <w:vAlign w:val="center"/>
          </w:tcPr>
          <w:p w14:paraId="7D894DFB">
            <w:pPr>
              <w:pStyle w:val="93"/>
              <w:spacing w:line="360" w:lineRule="auto"/>
              <w:jc w:val="center"/>
              <w:rPr>
                <w:rFonts w:cs="Times New Roman"/>
                <w:sz w:val="20"/>
                <w:szCs w:val="20"/>
              </w:rPr>
            </w:pPr>
            <w:r>
              <w:rPr>
                <w:rFonts w:cs="Times New Roman"/>
                <w:sz w:val="20"/>
                <w:szCs w:val="20"/>
              </w:rPr>
              <w:t>1.0320</w:t>
            </w:r>
          </w:p>
        </w:tc>
        <w:tc>
          <w:tcPr>
            <w:tcW w:w="439" w:type="pct"/>
            <w:noWrap/>
            <w:vAlign w:val="center"/>
          </w:tcPr>
          <w:p w14:paraId="17819AE2">
            <w:pPr>
              <w:pStyle w:val="93"/>
              <w:spacing w:line="360" w:lineRule="auto"/>
              <w:jc w:val="center"/>
              <w:rPr>
                <w:rFonts w:cs="Times New Roman"/>
                <w:sz w:val="20"/>
                <w:szCs w:val="20"/>
              </w:rPr>
            </w:pPr>
            <w:r>
              <w:rPr>
                <w:rFonts w:cs="Times New Roman"/>
                <w:sz w:val="20"/>
                <w:szCs w:val="20"/>
              </w:rPr>
              <w:t>1.0201</w:t>
            </w:r>
          </w:p>
        </w:tc>
        <w:tc>
          <w:tcPr>
            <w:tcW w:w="438" w:type="pct"/>
            <w:noWrap/>
            <w:vAlign w:val="center"/>
          </w:tcPr>
          <w:p w14:paraId="621F9DF3">
            <w:pPr>
              <w:pStyle w:val="93"/>
              <w:spacing w:line="360" w:lineRule="auto"/>
              <w:jc w:val="center"/>
              <w:rPr>
                <w:rFonts w:cs="Times New Roman"/>
                <w:sz w:val="20"/>
                <w:szCs w:val="20"/>
              </w:rPr>
            </w:pPr>
            <w:r>
              <w:rPr>
                <w:rFonts w:cs="Times New Roman"/>
                <w:sz w:val="20"/>
                <w:szCs w:val="20"/>
              </w:rPr>
              <w:t>1.0523</w:t>
            </w:r>
          </w:p>
        </w:tc>
      </w:tr>
      <w:tr w14:paraId="42EBA746">
        <w:tblPrEx>
          <w:tblCellMar>
            <w:top w:w="0" w:type="dxa"/>
            <w:left w:w="108" w:type="dxa"/>
            <w:bottom w:w="0" w:type="dxa"/>
            <w:right w:w="108" w:type="dxa"/>
          </w:tblCellMar>
        </w:tblPrEx>
        <w:trPr>
          <w:trHeight w:val="288" w:hRule="atLeast"/>
          <w:tblHeader/>
        </w:trPr>
        <w:tc>
          <w:tcPr>
            <w:tcW w:w="611" w:type="pct"/>
            <w:noWrap/>
            <w:vAlign w:val="center"/>
          </w:tcPr>
          <w:p w14:paraId="54F4B997">
            <w:pPr>
              <w:pStyle w:val="93"/>
              <w:spacing w:line="360" w:lineRule="auto"/>
              <w:jc w:val="center"/>
              <w:rPr>
                <w:rFonts w:cs="Times New Roman"/>
                <w:sz w:val="20"/>
                <w:szCs w:val="20"/>
              </w:rPr>
            </w:pPr>
            <w:r>
              <w:rPr>
                <w:rFonts w:cs="Times New Roman"/>
                <w:sz w:val="20"/>
                <w:szCs w:val="20"/>
              </w:rPr>
              <w:t>2009-2010</w:t>
            </w:r>
          </w:p>
        </w:tc>
        <w:tc>
          <w:tcPr>
            <w:tcW w:w="439" w:type="pct"/>
            <w:noWrap/>
            <w:vAlign w:val="center"/>
          </w:tcPr>
          <w:p w14:paraId="4B80B4F0">
            <w:pPr>
              <w:pStyle w:val="95"/>
              <w:spacing w:line="360" w:lineRule="auto"/>
              <w:rPr>
                <w:rFonts w:cs="Times New Roman"/>
                <w:sz w:val="20"/>
                <w:szCs w:val="20"/>
              </w:rPr>
            </w:pPr>
            <w:r>
              <w:rPr>
                <w:rFonts w:cs="Times New Roman"/>
                <w:sz w:val="20"/>
                <w:szCs w:val="20"/>
              </w:rPr>
              <w:t>1.1111</w:t>
            </w:r>
          </w:p>
        </w:tc>
        <w:tc>
          <w:tcPr>
            <w:tcW w:w="439" w:type="pct"/>
            <w:noWrap/>
            <w:vAlign w:val="center"/>
          </w:tcPr>
          <w:p w14:paraId="23AA4849">
            <w:pPr>
              <w:pStyle w:val="95"/>
              <w:spacing w:line="360" w:lineRule="auto"/>
              <w:rPr>
                <w:rFonts w:cs="Times New Roman"/>
                <w:sz w:val="20"/>
                <w:szCs w:val="20"/>
              </w:rPr>
            </w:pPr>
            <w:r>
              <w:rPr>
                <w:rFonts w:cs="Times New Roman"/>
                <w:sz w:val="20"/>
                <w:szCs w:val="20"/>
              </w:rPr>
              <w:t>1.1130</w:t>
            </w:r>
          </w:p>
        </w:tc>
        <w:tc>
          <w:tcPr>
            <w:tcW w:w="439" w:type="pct"/>
            <w:noWrap/>
            <w:vAlign w:val="center"/>
          </w:tcPr>
          <w:p w14:paraId="56A3DDFA">
            <w:pPr>
              <w:pStyle w:val="95"/>
              <w:spacing w:line="360" w:lineRule="auto"/>
              <w:rPr>
                <w:rFonts w:cs="Times New Roman"/>
                <w:sz w:val="20"/>
                <w:szCs w:val="20"/>
              </w:rPr>
            </w:pPr>
            <w:r>
              <w:rPr>
                <w:rFonts w:cs="Times New Roman"/>
                <w:sz w:val="20"/>
                <w:szCs w:val="20"/>
              </w:rPr>
              <w:t>1.0120</w:t>
            </w:r>
          </w:p>
        </w:tc>
        <w:tc>
          <w:tcPr>
            <w:tcW w:w="439" w:type="pct"/>
            <w:noWrap/>
            <w:vAlign w:val="center"/>
          </w:tcPr>
          <w:p w14:paraId="6787A845">
            <w:pPr>
              <w:pStyle w:val="95"/>
              <w:spacing w:line="360" w:lineRule="auto"/>
              <w:rPr>
                <w:rFonts w:cs="Times New Roman"/>
                <w:sz w:val="20"/>
                <w:szCs w:val="20"/>
              </w:rPr>
            </w:pPr>
            <w:r>
              <w:rPr>
                <w:rFonts w:cs="Times New Roman"/>
                <w:sz w:val="20"/>
                <w:szCs w:val="20"/>
              </w:rPr>
              <w:t>1.0871</w:t>
            </w:r>
          </w:p>
        </w:tc>
        <w:tc>
          <w:tcPr>
            <w:tcW w:w="439" w:type="pct"/>
            <w:noWrap/>
            <w:vAlign w:val="center"/>
          </w:tcPr>
          <w:p w14:paraId="5A4F40D9">
            <w:pPr>
              <w:pStyle w:val="95"/>
              <w:spacing w:line="360" w:lineRule="auto"/>
              <w:rPr>
                <w:rFonts w:cs="Times New Roman"/>
                <w:sz w:val="20"/>
                <w:szCs w:val="20"/>
              </w:rPr>
            </w:pPr>
            <w:r>
              <w:rPr>
                <w:rFonts w:cs="Times New Roman"/>
                <w:sz w:val="20"/>
                <w:szCs w:val="20"/>
              </w:rPr>
              <w:t>0.9854</w:t>
            </w:r>
          </w:p>
        </w:tc>
        <w:tc>
          <w:tcPr>
            <w:tcW w:w="439" w:type="pct"/>
            <w:noWrap/>
            <w:vAlign w:val="center"/>
          </w:tcPr>
          <w:p w14:paraId="2D77A03F">
            <w:pPr>
              <w:pStyle w:val="95"/>
              <w:spacing w:line="360" w:lineRule="auto"/>
              <w:rPr>
                <w:rFonts w:cs="Times New Roman"/>
                <w:sz w:val="20"/>
                <w:szCs w:val="20"/>
              </w:rPr>
            </w:pPr>
            <w:r>
              <w:rPr>
                <w:rFonts w:cs="Times New Roman"/>
                <w:sz w:val="20"/>
                <w:szCs w:val="20"/>
              </w:rPr>
              <w:t>1.0414</w:t>
            </w:r>
          </w:p>
        </w:tc>
        <w:tc>
          <w:tcPr>
            <w:tcW w:w="439" w:type="pct"/>
            <w:noWrap/>
            <w:vAlign w:val="center"/>
          </w:tcPr>
          <w:p w14:paraId="614B5B70">
            <w:pPr>
              <w:pStyle w:val="93"/>
              <w:spacing w:line="360" w:lineRule="auto"/>
              <w:jc w:val="center"/>
              <w:rPr>
                <w:rFonts w:cs="Times New Roman"/>
                <w:sz w:val="20"/>
                <w:szCs w:val="20"/>
              </w:rPr>
            </w:pPr>
            <w:r>
              <w:rPr>
                <w:rFonts w:cs="Times New Roman"/>
                <w:sz w:val="20"/>
                <w:szCs w:val="20"/>
              </w:rPr>
              <w:t>1.0195</w:t>
            </w:r>
          </w:p>
        </w:tc>
        <w:tc>
          <w:tcPr>
            <w:tcW w:w="439" w:type="pct"/>
            <w:noWrap/>
            <w:vAlign w:val="center"/>
          </w:tcPr>
          <w:p w14:paraId="22FFCDA0">
            <w:pPr>
              <w:pStyle w:val="93"/>
              <w:spacing w:line="360" w:lineRule="auto"/>
              <w:jc w:val="center"/>
              <w:rPr>
                <w:rFonts w:cs="Times New Roman"/>
                <w:sz w:val="20"/>
                <w:szCs w:val="20"/>
              </w:rPr>
            </w:pPr>
            <w:r>
              <w:rPr>
                <w:rFonts w:cs="Times New Roman"/>
                <w:sz w:val="20"/>
                <w:szCs w:val="20"/>
              </w:rPr>
              <w:t>1.0335</w:t>
            </w:r>
          </w:p>
        </w:tc>
        <w:tc>
          <w:tcPr>
            <w:tcW w:w="439" w:type="pct"/>
            <w:noWrap/>
            <w:vAlign w:val="center"/>
          </w:tcPr>
          <w:p w14:paraId="4A804938">
            <w:pPr>
              <w:pStyle w:val="93"/>
              <w:spacing w:line="360" w:lineRule="auto"/>
              <w:jc w:val="center"/>
              <w:rPr>
                <w:rFonts w:cs="Times New Roman"/>
                <w:sz w:val="20"/>
                <w:szCs w:val="20"/>
              </w:rPr>
            </w:pPr>
            <w:r>
              <w:rPr>
                <w:rFonts w:cs="Times New Roman"/>
                <w:sz w:val="20"/>
                <w:szCs w:val="20"/>
              </w:rPr>
              <w:t>0.9995</w:t>
            </w:r>
          </w:p>
        </w:tc>
        <w:tc>
          <w:tcPr>
            <w:tcW w:w="438" w:type="pct"/>
            <w:noWrap/>
            <w:vAlign w:val="center"/>
          </w:tcPr>
          <w:p w14:paraId="3685B7DF">
            <w:pPr>
              <w:pStyle w:val="93"/>
              <w:spacing w:line="360" w:lineRule="auto"/>
              <w:jc w:val="center"/>
              <w:rPr>
                <w:rFonts w:cs="Times New Roman"/>
                <w:sz w:val="20"/>
                <w:szCs w:val="20"/>
              </w:rPr>
            </w:pPr>
            <w:r>
              <w:rPr>
                <w:rFonts w:cs="Times New Roman"/>
                <w:sz w:val="20"/>
                <w:szCs w:val="20"/>
              </w:rPr>
              <w:t>1.0205</w:t>
            </w:r>
          </w:p>
        </w:tc>
      </w:tr>
      <w:tr w14:paraId="19543AA0">
        <w:tblPrEx>
          <w:tblCellMar>
            <w:top w:w="0" w:type="dxa"/>
            <w:left w:w="108" w:type="dxa"/>
            <w:bottom w:w="0" w:type="dxa"/>
            <w:right w:w="108" w:type="dxa"/>
          </w:tblCellMar>
        </w:tblPrEx>
        <w:trPr>
          <w:trHeight w:val="288" w:hRule="atLeast"/>
          <w:tblHeader/>
        </w:trPr>
        <w:tc>
          <w:tcPr>
            <w:tcW w:w="611" w:type="pct"/>
            <w:noWrap/>
            <w:vAlign w:val="center"/>
          </w:tcPr>
          <w:p w14:paraId="657D0A49">
            <w:pPr>
              <w:pStyle w:val="93"/>
              <w:spacing w:line="360" w:lineRule="auto"/>
              <w:jc w:val="center"/>
              <w:rPr>
                <w:rFonts w:cs="Times New Roman"/>
                <w:sz w:val="20"/>
                <w:szCs w:val="20"/>
              </w:rPr>
            </w:pPr>
            <w:r>
              <w:rPr>
                <w:rFonts w:cs="Times New Roman"/>
                <w:sz w:val="20"/>
                <w:szCs w:val="20"/>
              </w:rPr>
              <w:t>2010-2011</w:t>
            </w:r>
          </w:p>
        </w:tc>
        <w:tc>
          <w:tcPr>
            <w:tcW w:w="439" w:type="pct"/>
            <w:noWrap/>
            <w:vAlign w:val="center"/>
          </w:tcPr>
          <w:p w14:paraId="090074E7">
            <w:pPr>
              <w:pStyle w:val="95"/>
              <w:spacing w:line="360" w:lineRule="auto"/>
              <w:rPr>
                <w:rFonts w:cs="Times New Roman"/>
                <w:sz w:val="20"/>
                <w:szCs w:val="20"/>
              </w:rPr>
            </w:pPr>
            <w:r>
              <w:rPr>
                <w:rFonts w:cs="Times New Roman"/>
                <w:sz w:val="20"/>
                <w:szCs w:val="20"/>
              </w:rPr>
              <w:t>1.2487</w:t>
            </w:r>
          </w:p>
        </w:tc>
        <w:tc>
          <w:tcPr>
            <w:tcW w:w="439" w:type="pct"/>
            <w:noWrap/>
            <w:vAlign w:val="center"/>
          </w:tcPr>
          <w:p w14:paraId="71918859">
            <w:pPr>
              <w:pStyle w:val="95"/>
              <w:spacing w:line="360" w:lineRule="auto"/>
              <w:rPr>
                <w:rFonts w:cs="Times New Roman"/>
                <w:sz w:val="20"/>
                <w:szCs w:val="20"/>
              </w:rPr>
            </w:pPr>
            <w:r>
              <w:rPr>
                <w:rFonts w:cs="Times New Roman"/>
                <w:sz w:val="20"/>
                <w:szCs w:val="20"/>
              </w:rPr>
              <w:t>1.5796</w:t>
            </w:r>
          </w:p>
        </w:tc>
        <w:tc>
          <w:tcPr>
            <w:tcW w:w="439" w:type="pct"/>
            <w:noWrap/>
            <w:vAlign w:val="center"/>
          </w:tcPr>
          <w:p w14:paraId="7728B4A4">
            <w:pPr>
              <w:pStyle w:val="95"/>
              <w:spacing w:line="360" w:lineRule="auto"/>
              <w:rPr>
                <w:rFonts w:cs="Times New Roman"/>
                <w:sz w:val="20"/>
                <w:szCs w:val="20"/>
              </w:rPr>
            </w:pPr>
            <w:r>
              <w:rPr>
                <w:rFonts w:cs="Times New Roman"/>
                <w:sz w:val="20"/>
                <w:szCs w:val="20"/>
              </w:rPr>
              <w:t>0.8073</w:t>
            </w:r>
          </w:p>
        </w:tc>
        <w:tc>
          <w:tcPr>
            <w:tcW w:w="439" w:type="pct"/>
            <w:noWrap/>
            <w:vAlign w:val="center"/>
          </w:tcPr>
          <w:p w14:paraId="6FA6F096">
            <w:pPr>
              <w:pStyle w:val="95"/>
              <w:spacing w:line="360" w:lineRule="auto"/>
              <w:rPr>
                <w:rFonts w:cs="Times New Roman"/>
                <w:sz w:val="20"/>
                <w:szCs w:val="20"/>
              </w:rPr>
            </w:pPr>
            <w:r>
              <w:rPr>
                <w:rFonts w:cs="Times New Roman"/>
                <w:sz w:val="20"/>
                <w:szCs w:val="20"/>
              </w:rPr>
              <w:t>1.4027</w:t>
            </w:r>
          </w:p>
        </w:tc>
        <w:tc>
          <w:tcPr>
            <w:tcW w:w="439" w:type="pct"/>
            <w:noWrap/>
            <w:vAlign w:val="center"/>
          </w:tcPr>
          <w:p w14:paraId="726891D1">
            <w:pPr>
              <w:pStyle w:val="95"/>
              <w:spacing w:line="360" w:lineRule="auto"/>
              <w:rPr>
                <w:rFonts w:cs="Times New Roman"/>
                <w:sz w:val="20"/>
                <w:szCs w:val="20"/>
              </w:rPr>
            </w:pPr>
            <w:r>
              <w:rPr>
                <w:rFonts w:cs="Times New Roman"/>
                <w:sz w:val="20"/>
                <w:szCs w:val="20"/>
              </w:rPr>
              <w:t>0.8057</w:t>
            </w:r>
          </w:p>
        </w:tc>
        <w:tc>
          <w:tcPr>
            <w:tcW w:w="439" w:type="pct"/>
            <w:noWrap/>
            <w:vAlign w:val="center"/>
          </w:tcPr>
          <w:p w14:paraId="30AEEB59">
            <w:pPr>
              <w:pStyle w:val="95"/>
              <w:spacing w:line="360" w:lineRule="auto"/>
              <w:rPr>
                <w:rFonts w:cs="Times New Roman"/>
                <w:sz w:val="20"/>
                <w:szCs w:val="20"/>
              </w:rPr>
            </w:pPr>
            <w:r>
              <w:rPr>
                <w:rFonts w:cs="Times New Roman"/>
                <w:sz w:val="20"/>
                <w:szCs w:val="20"/>
              </w:rPr>
              <w:t>1.0909</w:t>
            </w:r>
          </w:p>
        </w:tc>
        <w:tc>
          <w:tcPr>
            <w:tcW w:w="439" w:type="pct"/>
            <w:noWrap/>
            <w:vAlign w:val="center"/>
          </w:tcPr>
          <w:p w14:paraId="418788E1">
            <w:pPr>
              <w:pStyle w:val="93"/>
              <w:spacing w:line="360" w:lineRule="auto"/>
              <w:jc w:val="center"/>
              <w:rPr>
                <w:rFonts w:cs="Times New Roman"/>
                <w:sz w:val="20"/>
                <w:szCs w:val="20"/>
              </w:rPr>
            </w:pPr>
            <w:r>
              <w:rPr>
                <w:rFonts w:cs="Times New Roman"/>
                <w:sz w:val="20"/>
                <w:szCs w:val="20"/>
              </w:rPr>
              <w:t>1.1030</w:t>
            </w:r>
          </w:p>
        </w:tc>
        <w:tc>
          <w:tcPr>
            <w:tcW w:w="439" w:type="pct"/>
            <w:noWrap/>
            <w:vAlign w:val="center"/>
          </w:tcPr>
          <w:p w14:paraId="079AE786">
            <w:pPr>
              <w:pStyle w:val="93"/>
              <w:spacing w:line="360" w:lineRule="auto"/>
              <w:jc w:val="center"/>
              <w:rPr>
                <w:rFonts w:cs="Times New Roman"/>
                <w:sz w:val="20"/>
                <w:szCs w:val="20"/>
              </w:rPr>
            </w:pPr>
            <w:r>
              <w:rPr>
                <w:rFonts w:cs="Times New Roman"/>
                <w:sz w:val="20"/>
                <w:szCs w:val="20"/>
              </w:rPr>
              <w:t>1.0219</w:t>
            </w:r>
          </w:p>
        </w:tc>
        <w:tc>
          <w:tcPr>
            <w:tcW w:w="439" w:type="pct"/>
            <w:noWrap/>
            <w:vAlign w:val="center"/>
          </w:tcPr>
          <w:p w14:paraId="5CB0B39B">
            <w:pPr>
              <w:pStyle w:val="93"/>
              <w:spacing w:line="360" w:lineRule="auto"/>
              <w:jc w:val="center"/>
              <w:rPr>
                <w:rFonts w:cs="Times New Roman"/>
                <w:sz w:val="20"/>
                <w:szCs w:val="20"/>
              </w:rPr>
            </w:pPr>
            <w:r>
              <w:rPr>
                <w:rFonts w:cs="Times New Roman"/>
                <w:sz w:val="20"/>
                <w:szCs w:val="20"/>
              </w:rPr>
              <w:t>0.9885</w:t>
            </w:r>
          </w:p>
        </w:tc>
        <w:tc>
          <w:tcPr>
            <w:tcW w:w="438" w:type="pct"/>
            <w:noWrap/>
            <w:vAlign w:val="center"/>
          </w:tcPr>
          <w:p w14:paraId="01E7166E">
            <w:pPr>
              <w:pStyle w:val="93"/>
              <w:spacing w:line="360" w:lineRule="auto"/>
              <w:jc w:val="center"/>
              <w:rPr>
                <w:rFonts w:cs="Times New Roman"/>
                <w:sz w:val="20"/>
                <w:szCs w:val="20"/>
              </w:rPr>
            </w:pPr>
            <w:r>
              <w:rPr>
                <w:rFonts w:cs="Times New Roman"/>
                <w:sz w:val="20"/>
                <w:szCs w:val="20"/>
              </w:rPr>
              <w:t>1.1146</w:t>
            </w:r>
          </w:p>
        </w:tc>
      </w:tr>
      <w:tr w14:paraId="0939E4DA">
        <w:tblPrEx>
          <w:tblCellMar>
            <w:top w:w="0" w:type="dxa"/>
            <w:left w:w="108" w:type="dxa"/>
            <w:bottom w:w="0" w:type="dxa"/>
            <w:right w:w="108" w:type="dxa"/>
          </w:tblCellMar>
        </w:tblPrEx>
        <w:trPr>
          <w:trHeight w:val="288" w:hRule="atLeast"/>
          <w:tblHeader/>
        </w:trPr>
        <w:tc>
          <w:tcPr>
            <w:tcW w:w="611" w:type="pct"/>
            <w:noWrap/>
            <w:vAlign w:val="center"/>
          </w:tcPr>
          <w:p w14:paraId="4F59DC9A">
            <w:pPr>
              <w:pStyle w:val="93"/>
              <w:spacing w:line="360" w:lineRule="auto"/>
              <w:jc w:val="center"/>
              <w:rPr>
                <w:rFonts w:cs="Times New Roman"/>
                <w:sz w:val="20"/>
                <w:szCs w:val="20"/>
              </w:rPr>
            </w:pPr>
            <w:r>
              <w:rPr>
                <w:rFonts w:cs="Times New Roman"/>
                <w:sz w:val="20"/>
                <w:szCs w:val="20"/>
              </w:rPr>
              <w:t>2011-2012</w:t>
            </w:r>
          </w:p>
        </w:tc>
        <w:tc>
          <w:tcPr>
            <w:tcW w:w="439" w:type="pct"/>
            <w:noWrap/>
            <w:vAlign w:val="center"/>
          </w:tcPr>
          <w:p w14:paraId="4570CD92">
            <w:pPr>
              <w:pStyle w:val="95"/>
              <w:spacing w:line="360" w:lineRule="auto"/>
              <w:rPr>
                <w:rFonts w:cs="Times New Roman"/>
                <w:sz w:val="20"/>
                <w:szCs w:val="20"/>
              </w:rPr>
            </w:pPr>
            <w:r>
              <w:rPr>
                <w:rFonts w:cs="Times New Roman"/>
                <w:sz w:val="20"/>
                <w:szCs w:val="20"/>
              </w:rPr>
              <w:t>1.0472</w:t>
            </w:r>
          </w:p>
        </w:tc>
        <w:tc>
          <w:tcPr>
            <w:tcW w:w="439" w:type="pct"/>
            <w:noWrap/>
            <w:vAlign w:val="center"/>
          </w:tcPr>
          <w:p w14:paraId="138B3AC6">
            <w:pPr>
              <w:pStyle w:val="95"/>
              <w:spacing w:line="360" w:lineRule="auto"/>
              <w:rPr>
                <w:rFonts w:cs="Times New Roman"/>
                <w:sz w:val="20"/>
                <w:szCs w:val="20"/>
              </w:rPr>
            </w:pPr>
            <w:r>
              <w:rPr>
                <w:rFonts w:cs="Times New Roman"/>
                <w:sz w:val="20"/>
                <w:szCs w:val="20"/>
              </w:rPr>
              <w:t>1.0799</w:t>
            </w:r>
          </w:p>
        </w:tc>
        <w:tc>
          <w:tcPr>
            <w:tcW w:w="439" w:type="pct"/>
            <w:noWrap/>
            <w:vAlign w:val="center"/>
          </w:tcPr>
          <w:p w14:paraId="5F5A8483">
            <w:pPr>
              <w:pStyle w:val="95"/>
              <w:spacing w:line="360" w:lineRule="auto"/>
              <w:rPr>
                <w:rFonts w:cs="Times New Roman"/>
                <w:sz w:val="20"/>
                <w:szCs w:val="20"/>
              </w:rPr>
            </w:pPr>
            <w:r>
              <w:rPr>
                <w:rFonts w:cs="Times New Roman"/>
                <w:sz w:val="20"/>
                <w:szCs w:val="20"/>
              </w:rPr>
              <w:t>0.9928</w:t>
            </w:r>
          </w:p>
        </w:tc>
        <w:tc>
          <w:tcPr>
            <w:tcW w:w="439" w:type="pct"/>
            <w:noWrap/>
            <w:vAlign w:val="center"/>
          </w:tcPr>
          <w:p w14:paraId="2E9A737A">
            <w:pPr>
              <w:pStyle w:val="95"/>
              <w:spacing w:line="360" w:lineRule="auto"/>
              <w:rPr>
                <w:rFonts w:cs="Times New Roman"/>
                <w:sz w:val="20"/>
                <w:szCs w:val="20"/>
              </w:rPr>
            </w:pPr>
            <w:r>
              <w:rPr>
                <w:rFonts w:cs="Times New Roman"/>
                <w:sz w:val="20"/>
                <w:szCs w:val="20"/>
              </w:rPr>
              <w:t>1.0407</w:t>
            </w:r>
          </w:p>
        </w:tc>
        <w:tc>
          <w:tcPr>
            <w:tcW w:w="439" w:type="pct"/>
            <w:noWrap/>
            <w:vAlign w:val="center"/>
          </w:tcPr>
          <w:p w14:paraId="764CD9A5">
            <w:pPr>
              <w:pStyle w:val="95"/>
              <w:spacing w:line="360" w:lineRule="auto"/>
              <w:rPr>
                <w:rFonts w:cs="Times New Roman"/>
                <w:sz w:val="20"/>
                <w:szCs w:val="20"/>
              </w:rPr>
            </w:pPr>
            <w:r>
              <w:rPr>
                <w:rFonts w:cs="Times New Roman"/>
                <w:sz w:val="20"/>
                <w:szCs w:val="20"/>
              </w:rPr>
              <w:t>0.9834</w:t>
            </w:r>
          </w:p>
        </w:tc>
        <w:tc>
          <w:tcPr>
            <w:tcW w:w="439" w:type="pct"/>
            <w:noWrap/>
            <w:vAlign w:val="center"/>
          </w:tcPr>
          <w:p w14:paraId="7D469655">
            <w:pPr>
              <w:pStyle w:val="95"/>
              <w:spacing w:line="360" w:lineRule="auto"/>
              <w:rPr>
                <w:rFonts w:cs="Times New Roman"/>
                <w:sz w:val="20"/>
                <w:szCs w:val="20"/>
              </w:rPr>
            </w:pPr>
            <w:r>
              <w:rPr>
                <w:rFonts w:cs="Times New Roman"/>
                <w:sz w:val="20"/>
                <w:szCs w:val="20"/>
              </w:rPr>
              <w:t>1.0235</w:t>
            </w:r>
          </w:p>
        </w:tc>
        <w:tc>
          <w:tcPr>
            <w:tcW w:w="439" w:type="pct"/>
            <w:noWrap/>
            <w:vAlign w:val="center"/>
          </w:tcPr>
          <w:p w14:paraId="180243C7">
            <w:pPr>
              <w:pStyle w:val="93"/>
              <w:spacing w:line="360" w:lineRule="auto"/>
              <w:jc w:val="center"/>
              <w:rPr>
                <w:rFonts w:cs="Times New Roman"/>
                <w:sz w:val="20"/>
                <w:szCs w:val="20"/>
              </w:rPr>
            </w:pPr>
            <w:r>
              <w:rPr>
                <w:rFonts w:cs="Times New Roman"/>
                <w:sz w:val="20"/>
                <w:szCs w:val="20"/>
              </w:rPr>
              <w:t>1.0225</w:t>
            </w:r>
          </w:p>
        </w:tc>
        <w:tc>
          <w:tcPr>
            <w:tcW w:w="439" w:type="pct"/>
            <w:noWrap/>
            <w:vAlign w:val="center"/>
          </w:tcPr>
          <w:p w14:paraId="29EED760">
            <w:pPr>
              <w:pStyle w:val="93"/>
              <w:spacing w:line="360" w:lineRule="auto"/>
              <w:jc w:val="center"/>
              <w:rPr>
                <w:rFonts w:cs="Times New Roman"/>
                <w:sz w:val="20"/>
                <w:szCs w:val="20"/>
              </w:rPr>
            </w:pPr>
            <w:r>
              <w:rPr>
                <w:rFonts w:cs="Times New Roman"/>
                <w:sz w:val="20"/>
                <w:szCs w:val="20"/>
              </w:rPr>
              <w:t>1.0240</w:t>
            </w:r>
          </w:p>
        </w:tc>
        <w:tc>
          <w:tcPr>
            <w:tcW w:w="439" w:type="pct"/>
            <w:noWrap/>
            <w:vAlign w:val="center"/>
          </w:tcPr>
          <w:p w14:paraId="4AC94C8D">
            <w:pPr>
              <w:pStyle w:val="93"/>
              <w:spacing w:line="360" w:lineRule="auto"/>
              <w:jc w:val="center"/>
              <w:rPr>
                <w:rFonts w:cs="Times New Roman"/>
                <w:sz w:val="20"/>
                <w:szCs w:val="20"/>
              </w:rPr>
            </w:pPr>
            <w:r>
              <w:rPr>
                <w:rFonts w:cs="Times New Roman"/>
                <w:sz w:val="20"/>
                <w:szCs w:val="20"/>
              </w:rPr>
              <w:t>0.9963</w:t>
            </w:r>
          </w:p>
        </w:tc>
        <w:tc>
          <w:tcPr>
            <w:tcW w:w="438" w:type="pct"/>
            <w:noWrap/>
            <w:vAlign w:val="center"/>
          </w:tcPr>
          <w:p w14:paraId="278A8C6C">
            <w:pPr>
              <w:pStyle w:val="93"/>
              <w:spacing w:line="360" w:lineRule="auto"/>
              <w:jc w:val="center"/>
              <w:rPr>
                <w:rFonts w:cs="Times New Roman"/>
                <w:sz w:val="20"/>
                <w:szCs w:val="20"/>
              </w:rPr>
            </w:pPr>
            <w:r>
              <w:rPr>
                <w:rFonts w:cs="Times New Roman"/>
                <w:sz w:val="20"/>
                <w:szCs w:val="20"/>
              </w:rPr>
              <w:t>1.0257</w:t>
            </w:r>
          </w:p>
        </w:tc>
      </w:tr>
      <w:tr w14:paraId="48E58D8D">
        <w:tblPrEx>
          <w:tblCellMar>
            <w:top w:w="0" w:type="dxa"/>
            <w:left w:w="108" w:type="dxa"/>
            <w:bottom w:w="0" w:type="dxa"/>
            <w:right w:w="108" w:type="dxa"/>
          </w:tblCellMar>
        </w:tblPrEx>
        <w:trPr>
          <w:trHeight w:val="288" w:hRule="atLeast"/>
          <w:tblHeader/>
        </w:trPr>
        <w:tc>
          <w:tcPr>
            <w:tcW w:w="611" w:type="pct"/>
            <w:noWrap/>
            <w:vAlign w:val="center"/>
          </w:tcPr>
          <w:p w14:paraId="0D0D3BF7">
            <w:pPr>
              <w:pStyle w:val="93"/>
              <w:spacing w:line="360" w:lineRule="auto"/>
              <w:jc w:val="center"/>
              <w:rPr>
                <w:rFonts w:cs="Times New Roman"/>
                <w:sz w:val="20"/>
                <w:szCs w:val="20"/>
              </w:rPr>
            </w:pPr>
            <w:r>
              <w:rPr>
                <w:rFonts w:cs="Times New Roman"/>
                <w:sz w:val="20"/>
                <w:szCs w:val="20"/>
              </w:rPr>
              <w:t>2012-2013</w:t>
            </w:r>
          </w:p>
        </w:tc>
        <w:tc>
          <w:tcPr>
            <w:tcW w:w="439" w:type="pct"/>
            <w:noWrap/>
            <w:vAlign w:val="center"/>
          </w:tcPr>
          <w:p w14:paraId="4FC2321F">
            <w:pPr>
              <w:pStyle w:val="95"/>
              <w:spacing w:line="360" w:lineRule="auto"/>
              <w:rPr>
                <w:rFonts w:cs="Times New Roman"/>
                <w:sz w:val="20"/>
                <w:szCs w:val="20"/>
              </w:rPr>
            </w:pPr>
            <w:r>
              <w:rPr>
                <w:rFonts w:cs="Times New Roman"/>
                <w:sz w:val="20"/>
                <w:szCs w:val="20"/>
              </w:rPr>
              <w:t>1.0631</w:t>
            </w:r>
          </w:p>
        </w:tc>
        <w:tc>
          <w:tcPr>
            <w:tcW w:w="439" w:type="pct"/>
            <w:noWrap/>
            <w:vAlign w:val="center"/>
          </w:tcPr>
          <w:p w14:paraId="68099C5C">
            <w:pPr>
              <w:pStyle w:val="95"/>
              <w:spacing w:line="360" w:lineRule="auto"/>
              <w:rPr>
                <w:rFonts w:cs="Times New Roman"/>
                <w:sz w:val="20"/>
                <w:szCs w:val="20"/>
              </w:rPr>
            </w:pPr>
            <w:r>
              <w:rPr>
                <w:rFonts w:cs="Times New Roman"/>
                <w:sz w:val="20"/>
                <w:szCs w:val="20"/>
              </w:rPr>
              <w:t>1.0407</w:t>
            </w:r>
          </w:p>
        </w:tc>
        <w:tc>
          <w:tcPr>
            <w:tcW w:w="439" w:type="pct"/>
            <w:noWrap/>
            <w:vAlign w:val="center"/>
          </w:tcPr>
          <w:p w14:paraId="53C0721A">
            <w:pPr>
              <w:pStyle w:val="95"/>
              <w:spacing w:line="360" w:lineRule="auto"/>
              <w:rPr>
                <w:rFonts w:cs="Times New Roman"/>
                <w:sz w:val="20"/>
                <w:szCs w:val="20"/>
              </w:rPr>
            </w:pPr>
            <w:r>
              <w:rPr>
                <w:rFonts w:cs="Times New Roman"/>
                <w:sz w:val="20"/>
                <w:szCs w:val="20"/>
              </w:rPr>
              <w:t>1.0351</w:t>
            </w:r>
          </w:p>
        </w:tc>
        <w:tc>
          <w:tcPr>
            <w:tcW w:w="439" w:type="pct"/>
            <w:noWrap/>
            <w:vAlign w:val="center"/>
          </w:tcPr>
          <w:p w14:paraId="18E632E1">
            <w:pPr>
              <w:pStyle w:val="95"/>
              <w:spacing w:line="360" w:lineRule="auto"/>
              <w:rPr>
                <w:rFonts w:cs="Times New Roman"/>
                <w:sz w:val="20"/>
                <w:szCs w:val="20"/>
              </w:rPr>
            </w:pPr>
            <w:r>
              <w:rPr>
                <w:rFonts w:cs="Times New Roman"/>
                <w:sz w:val="20"/>
                <w:szCs w:val="20"/>
              </w:rPr>
              <w:t>1.0178</w:t>
            </w:r>
          </w:p>
        </w:tc>
        <w:tc>
          <w:tcPr>
            <w:tcW w:w="439" w:type="pct"/>
            <w:noWrap/>
            <w:vAlign w:val="center"/>
          </w:tcPr>
          <w:p w14:paraId="523A96A3">
            <w:pPr>
              <w:pStyle w:val="95"/>
              <w:spacing w:line="360" w:lineRule="auto"/>
              <w:rPr>
                <w:rFonts w:cs="Times New Roman"/>
                <w:sz w:val="20"/>
                <w:szCs w:val="20"/>
              </w:rPr>
            </w:pPr>
            <w:r>
              <w:rPr>
                <w:rFonts w:cs="Times New Roman"/>
                <w:sz w:val="20"/>
                <w:szCs w:val="20"/>
              </w:rPr>
              <w:t>1.0409</w:t>
            </w:r>
          </w:p>
        </w:tc>
        <w:tc>
          <w:tcPr>
            <w:tcW w:w="439" w:type="pct"/>
            <w:noWrap/>
            <w:vAlign w:val="center"/>
          </w:tcPr>
          <w:p w14:paraId="2CB1CE32">
            <w:pPr>
              <w:pStyle w:val="95"/>
              <w:spacing w:line="360" w:lineRule="auto"/>
              <w:rPr>
                <w:rFonts w:cs="Times New Roman"/>
                <w:sz w:val="20"/>
                <w:szCs w:val="20"/>
              </w:rPr>
            </w:pPr>
            <w:r>
              <w:rPr>
                <w:rFonts w:cs="Times New Roman"/>
                <w:sz w:val="20"/>
                <w:szCs w:val="20"/>
              </w:rPr>
              <w:t>1.0073</w:t>
            </w:r>
          </w:p>
        </w:tc>
        <w:tc>
          <w:tcPr>
            <w:tcW w:w="439" w:type="pct"/>
            <w:noWrap/>
            <w:vAlign w:val="center"/>
          </w:tcPr>
          <w:p w14:paraId="3C402BFB">
            <w:pPr>
              <w:pStyle w:val="93"/>
              <w:spacing w:line="360" w:lineRule="auto"/>
              <w:jc w:val="center"/>
              <w:rPr>
                <w:rFonts w:cs="Times New Roman"/>
                <w:sz w:val="20"/>
                <w:szCs w:val="20"/>
              </w:rPr>
            </w:pPr>
            <w:r>
              <w:rPr>
                <w:rFonts w:cs="Times New Roman"/>
                <w:sz w:val="20"/>
                <w:szCs w:val="20"/>
              </w:rPr>
              <w:t>1.0164</w:t>
            </w:r>
          </w:p>
        </w:tc>
        <w:tc>
          <w:tcPr>
            <w:tcW w:w="439" w:type="pct"/>
            <w:noWrap/>
            <w:vAlign w:val="center"/>
          </w:tcPr>
          <w:p w14:paraId="04E41188">
            <w:pPr>
              <w:pStyle w:val="93"/>
              <w:spacing w:line="360" w:lineRule="auto"/>
              <w:jc w:val="center"/>
              <w:rPr>
                <w:rFonts w:cs="Times New Roman"/>
                <w:sz w:val="20"/>
                <w:szCs w:val="20"/>
              </w:rPr>
            </w:pPr>
            <w:r>
              <w:rPr>
                <w:rFonts w:cs="Times New Roman"/>
                <w:sz w:val="20"/>
                <w:szCs w:val="20"/>
              </w:rPr>
              <w:t>0.9932</w:t>
            </w:r>
          </w:p>
        </w:tc>
        <w:tc>
          <w:tcPr>
            <w:tcW w:w="439" w:type="pct"/>
            <w:noWrap/>
            <w:vAlign w:val="center"/>
          </w:tcPr>
          <w:p w14:paraId="3C813D9D">
            <w:pPr>
              <w:pStyle w:val="93"/>
              <w:spacing w:line="360" w:lineRule="auto"/>
              <w:jc w:val="center"/>
              <w:rPr>
                <w:rFonts w:cs="Times New Roman"/>
                <w:sz w:val="20"/>
                <w:szCs w:val="20"/>
              </w:rPr>
            </w:pPr>
            <w:r>
              <w:rPr>
                <w:rFonts w:cs="Times New Roman"/>
                <w:sz w:val="20"/>
                <w:szCs w:val="20"/>
              </w:rPr>
              <w:t>0.9892</w:t>
            </w:r>
          </w:p>
        </w:tc>
        <w:tc>
          <w:tcPr>
            <w:tcW w:w="438" w:type="pct"/>
            <w:noWrap/>
            <w:vAlign w:val="center"/>
          </w:tcPr>
          <w:p w14:paraId="45257425">
            <w:pPr>
              <w:pStyle w:val="93"/>
              <w:spacing w:line="360" w:lineRule="auto"/>
              <w:jc w:val="center"/>
              <w:rPr>
                <w:rFonts w:cs="Times New Roman"/>
                <w:sz w:val="20"/>
                <w:szCs w:val="20"/>
              </w:rPr>
            </w:pPr>
            <w:r>
              <w:rPr>
                <w:rFonts w:cs="Times New Roman"/>
                <w:sz w:val="20"/>
                <w:szCs w:val="20"/>
              </w:rPr>
              <w:t>1.0271</w:t>
            </w:r>
          </w:p>
        </w:tc>
      </w:tr>
      <w:tr w14:paraId="23B04E4E">
        <w:tblPrEx>
          <w:tblCellMar>
            <w:top w:w="0" w:type="dxa"/>
            <w:left w:w="108" w:type="dxa"/>
            <w:bottom w:w="0" w:type="dxa"/>
            <w:right w:w="108" w:type="dxa"/>
          </w:tblCellMar>
        </w:tblPrEx>
        <w:trPr>
          <w:trHeight w:val="288" w:hRule="atLeast"/>
          <w:tblHeader/>
        </w:trPr>
        <w:tc>
          <w:tcPr>
            <w:tcW w:w="611" w:type="pct"/>
            <w:noWrap/>
            <w:vAlign w:val="center"/>
          </w:tcPr>
          <w:p w14:paraId="29743975">
            <w:pPr>
              <w:pStyle w:val="93"/>
              <w:spacing w:line="360" w:lineRule="auto"/>
              <w:jc w:val="center"/>
              <w:rPr>
                <w:rFonts w:cs="Times New Roman"/>
                <w:sz w:val="20"/>
                <w:szCs w:val="20"/>
              </w:rPr>
            </w:pPr>
            <w:r>
              <w:rPr>
                <w:rFonts w:cs="Times New Roman"/>
                <w:sz w:val="20"/>
                <w:szCs w:val="20"/>
              </w:rPr>
              <w:t>2013-2014</w:t>
            </w:r>
          </w:p>
        </w:tc>
        <w:tc>
          <w:tcPr>
            <w:tcW w:w="439" w:type="pct"/>
            <w:noWrap/>
            <w:vAlign w:val="center"/>
          </w:tcPr>
          <w:p w14:paraId="6ACD122C">
            <w:pPr>
              <w:pStyle w:val="95"/>
              <w:spacing w:line="360" w:lineRule="auto"/>
              <w:rPr>
                <w:rFonts w:cs="Times New Roman"/>
                <w:sz w:val="20"/>
                <w:szCs w:val="20"/>
              </w:rPr>
            </w:pPr>
            <w:r>
              <w:rPr>
                <w:rFonts w:cs="Times New Roman"/>
                <w:sz w:val="20"/>
                <w:szCs w:val="20"/>
              </w:rPr>
              <w:t>1.0097</w:t>
            </w:r>
          </w:p>
        </w:tc>
        <w:tc>
          <w:tcPr>
            <w:tcW w:w="439" w:type="pct"/>
            <w:noWrap/>
            <w:vAlign w:val="center"/>
          </w:tcPr>
          <w:p w14:paraId="583F0590">
            <w:pPr>
              <w:pStyle w:val="95"/>
              <w:spacing w:line="360" w:lineRule="auto"/>
              <w:rPr>
                <w:rFonts w:cs="Times New Roman"/>
                <w:sz w:val="20"/>
                <w:szCs w:val="20"/>
              </w:rPr>
            </w:pPr>
            <w:r>
              <w:rPr>
                <w:rFonts w:cs="Times New Roman"/>
                <w:sz w:val="20"/>
                <w:szCs w:val="20"/>
              </w:rPr>
              <w:t>1.0594</w:t>
            </w:r>
          </w:p>
        </w:tc>
        <w:tc>
          <w:tcPr>
            <w:tcW w:w="439" w:type="pct"/>
            <w:noWrap/>
            <w:vAlign w:val="center"/>
          </w:tcPr>
          <w:p w14:paraId="04C54E97">
            <w:pPr>
              <w:pStyle w:val="95"/>
              <w:spacing w:line="360" w:lineRule="auto"/>
              <w:rPr>
                <w:rFonts w:cs="Times New Roman"/>
                <w:sz w:val="20"/>
                <w:szCs w:val="20"/>
              </w:rPr>
            </w:pPr>
            <w:r>
              <w:rPr>
                <w:rFonts w:cs="Times New Roman"/>
                <w:sz w:val="20"/>
                <w:szCs w:val="20"/>
              </w:rPr>
              <w:t>0.9912</w:t>
            </w:r>
          </w:p>
        </w:tc>
        <w:tc>
          <w:tcPr>
            <w:tcW w:w="439" w:type="pct"/>
            <w:noWrap/>
            <w:vAlign w:val="center"/>
          </w:tcPr>
          <w:p w14:paraId="2064B233">
            <w:pPr>
              <w:pStyle w:val="95"/>
              <w:spacing w:line="360" w:lineRule="auto"/>
              <w:rPr>
                <w:rFonts w:cs="Times New Roman"/>
                <w:sz w:val="20"/>
                <w:szCs w:val="20"/>
              </w:rPr>
            </w:pPr>
            <w:r>
              <w:rPr>
                <w:rFonts w:cs="Times New Roman"/>
                <w:sz w:val="20"/>
                <w:szCs w:val="20"/>
              </w:rPr>
              <w:t>1.0013</w:t>
            </w:r>
          </w:p>
        </w:tc>
        <w:tc>
          <w:tcPr>
            <w:tcW w:w="439" w:type="pct"/>
            <w:noWrap/>
            <w:vAlign w:val="center"/>
          </w:tcPr>
          <w:p w14:paraId="521522F9">
            <w:pPr>
              <w:pStyle w:val="95"/>
              <w:spacing w:line="360" w:lineRule="auto"/>
              <w:rPr>
                <w:rFonts w:cs="Times New Roman"/>
                <w:sz w:val="20"/>
                <w:szCs w:val="20"/>
              </w:rPr>
            </w:pPr>
            <w:r>
              <w:rPr>
                <w:rFonts w:cs="Times New Roman"/>
                <w:sz w:val="20"/>
                <w:szCs w:val="20"/>
              </w:rPr>
              <w:t>1.0457</w:t>
            </w:r>
          </w:p>
        </w:tc>
        <w:tc>
          <w:tcPr>
            <w:tcW w:w="439" w:type="pct"/>
            <w:noWrap/>
            <w:vAlign w:val="center"/>
          </w:tcPr>
          <w:p w14:paraId="0FEB7923">
            <w:pPr>
              <w:pStyle w:val="95"/>
              <w:spacing w:line="360" w:lineRule="auto"/>
              <w:rPr>
                <w:rFonts w:cs="Times New Roman"/>
                <w:sz w:val="20"/>
                <w:szCs w:val="20"/>
              </w:rPr>
            </w:pPr>
            <w:r>
              <w:rPr>
                <w:rFonts w:cs="Times New Roman"/>
                <w:sz w:val="20"/>
                <w:szCs w:val="20"/>
              </w:rPr>
              <w:t>0.9711</w:t>
            </w:r>
          </w:p>
        </w:tc>
        <w:tc>
          <w:tcPr>
            <w:tcW w:w="439" w:type="pct"/>
            <w:noWrap/>
            <w:vAlign w:val="center"/>
          </w:tcPr>
          <w:p w14:paraId="5792DC8D">
            <w:pPr>
              <w:pStyle w:val="93"/>
              <w:spacing w:line="360" w:lineRule="auto"/>
              <w:jc w:val="center"/>
              <w:rPr>
                <w:rFonts w:cs="Times New Roman"/>
                <w:sz w:val="20"/>
                <w:szCs w:val="20"/>
              </w:rPr>
            </w:pPr>
            <w:r>
              <w:rPr>
                <w:rFonts w:cs="Times New Roman"/>
                <w:sz w:val="20"/>
                <w:szCs w:val="20"/>
              </w:rPr>
              <w:t>1.0387</w:t>
            </w:r>
          </w:p>
        </w:tc>
        <w:tc>
          <w:tcPr>
            <w:tcW w:w="439" w:type="pct"/>
            <w:noWrap/>
            <w:vAlign w:val="center"/>
          </w:tcPr>
          <w:p w14:paraId="3823E6D6">
            <w:pPr>
              <w:pStyle w:val="93"/>
              <w:spacing w:line="360" w:lineRule="auto"/>
              <w:jc w:val="center"/>
              <w:rPr>
                <w:rFonts w:cs="Times New Roman"/>
                <w:sz w:val="20"/>
                <w:szCs w:val="20"/>
              </w:rPr>
            </w:pPr>
            <w:r>
              <w:rPr>
                <w:rFonts w:cs="Times New Roman"/>
                <w:sz w:val="20"/>
                <w:szCs w:val="20"/>
              </w:rPr>
              <w:t>0.9562</w:t>
            </w:r>
          </w:p>
        </w:tc>
        <w:tc>
          <w:tcPr>
            <w:tcW w:w="439" w:type="pct"/>
            <w:noWrap/>
            <w:vAlign w:val="center"/>
          </w:tcPr>
          <w:p w14:paraId="545B82DF">
            <w:pPr>
              <w:pStyle w:val="93"/>
              <w:spacing w:line="360" w:lineRule="auto"/>
              <w:jc w:val="center"/>
              <w:rPr>
                <w:rFonts w:cs="Times New Roman"/>
                <w:sz w:val="20"/>
                <w:szCs w:val="20"/>
              </w:rPr>
            </w:pPr>
            <w:r>
              <w:rPr>
                <w:rFonts w:cs="Times New Roman"/>
                <w:sz w:val="20"/>
                <w:szCs w:val="20"/>
              </w:rPr>
              <w:t>0.9850</w:t>
            </w:r>
          </w:p>
        </w:tc>
        <w:tc>
          <w:tcPr>
            <w:tcW w:w="438" w:type="pct"/>
            <w:noWrap/>
            <w:vAlign w:val="center"/>
          </w:tcPr>
          <w:p w14:paraId="55B88AC3">
            <w:pPr>
              <w:pStyle w:val="93"/>
              <w:spacing w:line="360" w:lineRule="auto"/>
              <w:jc w:val="center"/>
              <w:rPr>
                <w:rFonts w:cs="Times New Roman"/>
                <w:sz w:val="20"/>
                <w:szCs w:val="20"/>
              </w:rPr>
            </w:pPr>
            <w:r>
              <w:rPr>
                <w:rFonts w:cs="Times New Roman"/>
                <w:sz w:val="20"/>
                <w:szCs w:val="20"/>
              </w:rPr>
              <w:t>1.0541</w:t>
            </w:r>
          </w:p>
        </w:tc>
      </w:tr>
      <w:tr w14:paraId="7A0C24E4">
        <w:tblPrEx>
          <w:tblCellMar>
            <w:top w:w="0" w:type="dxa"/>
            <w:left w:w="108" w:type="dxa"/>
            <w:bottom w:w="0" w:type="dxa"/>
            <w:right w:w="108" w:type="dxa"/>
          </w:tblCellMar>
        </w:tblPrEx>
        <w:trPr>
          <w:trHeight w:val="288" w:hRule="atLeast"/>
          <w:tblHeader/>
        </w:trPr>
        <w:tc>
          <w:tcPr>
            <w:tcW w:w="611" w:type="pct"/>
            <w:noWrap/>
            <w:vAlign w:val="center"/>
          </w:tcPr>
          <w:p w14:paraId="3DB8DCA7">
            <w:pPr>
              <w:pStyle w:val="93"/>
              <w:spacing w:line="360" w:lineRule="auto"/>
              <w:jc w:val="center"/>
              <w:rPr>
                <w:rFonts w:cs="Times New Roman"/>
                <w:sz w:val="20"/>
                <w:szCs w:val="20"/>
              </w:rPr>
            </w:pPr>
            <w:r>
              <w:rPr>
                <w:rFonts w:cs="Times New Roman"/>
                <w:sz w:val="20"/>
                <w:szCs w:val="20"/>
              </w:rPr>
              <w:t>2014-2015</w:t>
            </w:r>
          </w:p>
        </w:tc>
        <w:tc>
          <w:tcPr>
            <w:tcW w:w="439" w:type="pct"/>
            <w:noWrap/>
            <w:vAlign w:val="center"/>
          </w:tcPr>
          <w:p w14:paraId="77F5D618">
            <w:pPr>
              <w:pStyle w:val="95"/>
              <w:spacing w:line="360" w:lineRule="auto"/>
              <w:rPr>
                <w:rFonts w:cs="Times New Roman"/>
                <w:sz w:val="20"/>
                <w:szCs w:val="20"/>
              </w:rPr>
            </w:pPr>
            <w:r>
              <w:rPr>
                <w:rFonts w:cs="Times New Roman"/>
                <w:sz w:val="20"/>
                <w:szCs w:val="20"/>
              </w:rPr>
              <w:t>1.4997</w:t>
            </w:r>
          </w:p>
        </w:tc>
        <w:tc>
          <w:tcPr>
            <w:tcW w:w="439" w:type="pct"/>
            <w:noWrap/>
            <w:vAlign w:val="center"/>
          </w:tcPr>
          <w:p w14:paraId="2D235859">
            <w:pPr>
              <w:pStyle w:val="95"/>
              <w:spacing w:line="360" w:lineRule="auto"/>
              <w:rPr>
                <w:rFonts w:cs="Times New Roman"/>
                <w:sz w:val="20"/>
                <w:szCs w:val="20"/>
              </w:rPr>
            </w:pPr>
            <w:r>
              <w:rPr>
                <w:rFonts w:cs="Times New Roman"/>
                <w:sz w:val="20"/>
                <w:szCs w:val="20"/>
              </w:rPr>
              <w:t>1.3945</w:t>
            </w:r>
          </w:p>
        </w:tc>
        <w:tc>
          <w:tcPr>
            <w:tcW w:w="439" w:type="pct"/>
            <w:noWrap/>
            <w:vAlign w:val="center"/>
          </w:tcPr>
          <w:p w14:paraId="40010B19">
            <w:pPr>
              <w:pStyle w:val="95"/>
              <w:spacing w:line="360" w:lineRule="auto"/>
              <w:rPr>
                <w:rFonts w:cs="Times New Roman"/>
                <w:sz w:val="20"/>
                <w:szCs w:val="20"/>
              </w:rPr>
            </w:pPr>
            <w:r>
              <w:rPr>
                <w:rFonts w:cs="Times New Roman"/>
                <w:sz w:val="20"/>
                <w:szCs w:val="20"/>
              </w:rPr>
              <w:t>1.0851</w:t>
            </w:r>
          </w:p>
        </w:tc>
        <w:tc>
          <w:tcPr>
            <w:tcW w:w="439" w:type="pct"/>
            <w:noWrap/>
            <w:vAlign w:val="center"/>
          </w:tcPr>
          <w:p w14:paraId="0313A3D7">
            <w:pPr>
              <w:pStyle w:val="95"/>
              <w:spacing w:line="360" w:lineRule="auto"/>
              <w:rPr>
                <w:rFonts w:cs="Times New Roman"/>
                <w:sz w:val="20"/>
                <w:szCs w:val="20"/>
              </w:rPr>
            </w:pPr>
            <w:r>
              <w:rPr>
                <w:rFonts w:cs="Times New Roman"/>
                <w:sz w:val="20"/>
                <w:szCs w:val="20"/>
              </w:rPr>
              <w:t>0.9304</w:t>
            </w:r>
          </w:p>
        </w:tc>
        <w:tc>
          <w:tcPr>
            <w:tcW w:w="439" w:type="pct"/>
            <w:noWrap/>
            <w:vAlign w:val="center"/>
          </w:tcPr>
          <w:p w14:paraId="238115D8">
            <w:pPr>
              <w:pStyle w:val="95"/>
              <w:spacing w:line="360" w:lineRule="auto"/>
              <w:rPr>
                <w:rFonts w:cs="Times New Roman"/>
                <w:sz w:val="20"/>
                <w:szCs w:val="20"/>
              </w:rPr>
            </w:pPr>
            <w:r>
              <w:rPr>
                <w:rFonts w:cs="Times New Roman"/>
                <w:sz w:val="20"/>
                <w:szCs w:val="20"/>
              </w:rPr>
              <w:t>1.1550</w:t>
            </w:r>
          </w:p>
        </w:tc>
        <w:tc>
          <w:tcPr>
            <w:tcW w:w="439" w:type="pct"/>
            <w:noWrap/>
            <w:vAlign w:val="center"/>
          </w:tcPr>
          <w:p w14:paraId="2A2FD5CA">
            <w:pPr>
              <w:pStyle w:val="95"/>
              <w:spacing w:line="360" w:lineRule="auto"/>
              <w:rPr>
                <w:rFonts w:cs="Times New Roman"/>
                <w:sz w:val="20"/>
                <w:szCs w:val="20"/>
              </w:rPr>
            </w:pPr>
            <w:r>
              <w:rPr>
                <w:rFonts w:cs="Times New Roman"/>
                <w:sz w:val="20"/>
                <w:szCs w:val="20"/>
              </w:rPr>
              <w:t>1.0961</w:t>
            </w:r>
          </w:p>
        </w:tc>
        <w:tc>
          <w:tcPr>
            <w:tcW w:w="439" w:type="pct"/>
            <w:noWrap/>
            <w:vAlign w:val="center"/>
          </w:tcPr>
          <w:p w14:paraId="08297A75">
            <w:pPr>
              <w:pStyle w:val="93"/>
              <w:spacing w:line="360" w:lineRule="auto"/>
              <w:jc w:val="center"/>
              <w:rPr>
                <w:rFonts w:cs="Times New Roman"/>
                <w:sz w:val="20"/>
                <w:szCs w:val="20"/>
              </w:rPr>
            </w:pPr>
            <w:r>
              <w:rPr>
                <w:rFonts w:cs="Times New Roman"/>
                <w:sz w:val="20"/>
                <w:szCs w:val="20"/>
              </w:rPr>
              <w:t>1.1942</w:t>
            </w:r>
          </w:p>
        </w:tc>
        <w:tc>
          <w:tcPr>
            <w:tcW w:w="439" w:type="pct"/>
            <w:noWrap/>
            <w:vAlign w:val="center"/>
          </w:tcPr>
          <w:p w14:paraId="3A4B8656">
            <w:pPr>
              <w:pStyle w:val="93"/>
              <w:spacing w:line="360" w:lineRule="auto"/>
              <w:jc w:val="center"/>
              <w:rPr>
                <w:rFonts w:cs="Times New Roman"/>
                <w:sz w:val="20"/>
                <w:szCs w:val="20"/>
              </w:rPr>
            </w:pPr>
            <w:r>
              <w:rPr>
                <w:rFonts w:cs="Times New Roman"/>
                <w:sz w:val="20"/>
                <w:szCs w:val="20"/>
              </w:rPr>
              <w:t>0.9619</w:t>
            </w:r>
          </w:p>
        </w:tc>
        <w:tc>
          <w:tcPr>
            <w:tcW w:w="439" w:type="pct"/>
            <w:noWrap/>
            <w:vAlign w:val="center"/>
          </w:tcPr>
          <w:p w14:paraId="7E6D750B">
            <w:pPr>
              <w:pStyle w:val="93"/>
              <w:spacing w:line="360" w:lineRule="auto"/>
              <w:jc w:val="center"/>
              <w:rPr>
                <w:rFonts w:cs="Times New Roman"/>
                <w:sz w:val="20"/>
                <w:szCs w:val="20"/>
              </w:rPr>
            </w:pPr>
            <w:r>
              <w:rPr>
                <w:rFonts w:cs="Times New Roman"/>
                <w:sz w:val="20"/>
                <w:szCs w:val="20"/>
              </w:rPr>
              <w:t>1.0281</w:t>
            </w:r>
          </w:p>
        </w:tc>
        <w:tc>
          <w:tcPr>
            <w:tcW w:w="438" w:type="pct"/>
            <w:noWrap/>
            <w:vAlign w:val="center"/>
          </w:tcPr>
          <w:p w14:paraId="4830251A">
            <w:pPr>
              <w:pStyle w:val="93"/>
              <w:spacing w:line="360" w:lineRule="auto"/>
              <w:jc w:val="center"/>
              <w:rPr>
                <w:rFonts w:cs="Times New Roman"/>
                <w:sz w:val="20"/>
                <w:szCs w:val="20"/>
              </w:rPr>
            </w:pPr>
            <w:r>
              <w:rPr>
                <w:rFonts w:cs="Times New Roman"/>
                <w:sz w:val="20"/>
                <w:szCs w:val="20"/>
              </w:rPr>
              <w:t>1.1652</w:t>
            </w:r>
          </w:p>
        </w:tc>
      </w:tr>
      <w:tr w14:paraId="0DE3CDD3">
        <w:tblPrEx>
          <w:tblCellMar>
            <w:top w:w="0" w:type="dxa"/>
            <w:left w:w="108" w:type="dxa"/>
            <w:bottom w:w="0" w:type="dxa"/>
            <w:right w:w="108" w:type="dxa"/>
          </w:tblCellMar>
        </w:tblPrEx>
        <w:trPr>
          <w:trHeight w:val="288" w:hRule="atLeast"/>
          <w:tblHeader/>
        </w:trPr>
        <w:tc>
          <w:tcPr>
            <w:tcW w:w="611" w:type="pct"/>
            <w:noWrap/>
            <w:vAlign w:val="center"/>
          </w:tcPr>
          <w:p w14:paraId="3EF045D9">
            <w:pPr>
              <w:pStyle w:val="93"/>
              <w:spacing w:line="360" w:lineRule="auto"/>
              <w:jc w:val="center"/>
              <w:rPr>
                <w:rFonts w:cs="Times New Roman"/>
                <w:sz w:val="20"/>
                <w:szCs w:val="20"/>
              </w:rPr>
            </w:pPr>
            <w:r>
              <w:rPr>
                <w:rFonts w:cs="Times New Roman"/>
                <w:sz w:val="20"/>
                <w:szCs w:val="20"/>
              </w:rPr>
              <w:t>2015-2016</w:t>
            </w:r>
          </w:p>
        </w:tc>
        <w:tc>
          <w:tcPr>
            <w:tcW w:w="439" w:type="pct"/>
            <w:noWrap/>
            <w:vAlign w:val="center"/>
          </w:tcPr>
          <w:p w14:paraId="22B47BF6">
            <w:pPr>
              <w:pStyle w:val="95"/>
              <w:spacing w:line="360" w:lineRule="auto"/>
              <w:rPr>
                <w:rFonts w:cs="Times New Roman"/>
                <w:sz w:val="20"/>
                <w:szCs w:val="20"/>
              </w:rPr>
            </w:pPr>
            <w:r>
              <w:rPr>
                <w:rFonts w:cs="Times New Roman"/>
                <w:sz w:val="20"/>
                <w:szCs w:val="20"/>
              </w:rPr>
              <w:t>1.1755</w:t>
            </w:r>
          </w:p>
        </w:tc>
        <w:tc>
          <w:tcPr>
            <w:tcW w:w="439" w:type="pct"/>
            <w:noWrap/>
            <w:vAlign w:val="center"/>
          </w:tcPr>
          <w:p w14:paraId="010455F3">
            <w:pPr>
              <w:pStyle w:val="95"/>
              <w:spacing w:line="360" w:lineRule="auto"/>
              <w:rPr>
                <w:rFonts w:cs="Times New Roman"/>
                <w:sz w:val="20"/>
                <w:szCs w:val="20"/>
              </w:rPr>
            </w:pPr>
            <w:r>
              <w:rPr>
                <w:rFonts w:cs="Times New Roman"/>
                <w:sz w:val="20"/>
                <w:szCs w:val="20"/>
              </w:rPr>
              <w:t>1.1248</w:t>
            </w:r>
          </w:p>
        </w:tc>
        <w:tc>
          <w:tcPr>
            <w:tcW w:w="439" w:type="pct"/>
            <w:noWrap/>
            <w:vAlign w:val="center"/>
          </w:tcPr>
          <w:p w14:paraId="1E620CFE">
            <w:pPr>
              <w:pStyle w:val="95"/>
              <w:spacing w:line="360" w:lineRule="auto"/>
              <w:rPr>
                <w:rFonts w:cs="Times New Roman"/>
                <w:sz w:val="20"/>
                <w:szCs w:val="20"/>
              </w:rPr>
            </w:pPr>
            <w:r>
              <w:rPr>
                <w:rFonts w:cs="Times New Roman"/>
                <w:sz w:val="20"/>
                <w:szCs w:val="20"/>
              </w:rPr>
              <w:t>1.0880</w:t>
            </w:r>
          </w:p>
        </w:tc>
        <w:tc>
          <w:tcPr>
            <w:tcW w:w="439" w:type="pct"/>
            <w:noWrap/>
            <w:vAlign w:val="center"/>
          </w:tcPr>
          <w:p w14:paraId="32992B37">
            <w:pPr>
              <w:pStyle w:val="95"/>
              <w:spacing w:line="360" w:lineRule="auto"/>
              <w:rPr>
                <w:rFonts w:cs="Times New Roman"/>
                <w:sz w:val="20"/>
                <w:szCs w:val="20"/>
              </w:rPr>
            </w:pPr>
            <w:r>
              <w:rPr>
                <w:rFonts w:cs="Times New Roman"/>
                <w:sz w:val="20"/>
                <w:szCs w:val="20"/>
              </w:rPr>
              <w:t>1.1242</w:t>
            </w:r>
          </w:p>
        </w:tc>
        <w:tc>
          <w:tcPr>
            <w:tcW w:w="439" w:type="pct"/>
            <w:noWrap/>
            <w:vAlign w:val="center"/>
          </w:tcPr>
          <w:p w14:paraId="391BB223">
            <w:pPr>
              <w:pStyle w:val="95"/>
              <w:spacing w:line="360" w:lineRule="auto"/>
              <w:rPr>
                <w:rFonts w:cs="Times New Roman"/>
                <w:sz w:val="20"/>
                <w:szCs w:val="20"/>
              </w:rPr>
            </w:pPr>
            <w:r>
              <w:rPr>
                <w:rFonts w:cs="Times New Roman"/>
                <w:sz w:val="20"/>
                <w:szCs w:val="20"/>
              </w:rPr>
              <w:t>1.0163</w:t>
            </w:r>
          </w:p>
        </w:tc>
        <w:tc>
          <w:tcPr>
            <w:tcW w:w="439" w:type="pct"/>
            <w:noWrap/>
            <w:vAlign w:val="center"/>
          </w:tcPr>
          <w:p w14:paraId="768DC00A">
            <w:pPr>
              <w:pStyle w:val="95"/>
              <w:spacing w:line="360" w:lineRule="auto"/>
              <w:rPr>
                <w:rFonts w:cs="Times New Roman"/>
                <w:sz w:val="20"/>
                <w:szCs w:val="20"/>
              </w:rPr>
            </w:pPr>
            <w:r>
              <w:rPr>
                <w:rFonts w:cs="Times New Roman"/>
                <w:sz w:val="20"/>
                <w:szCs w:val="20"/>
              </w:rPr>
              <w:t>1.0375</w:t>
            </w:r>
          </w:p>
        </w:tc>
        <w:tc>
          <w:tcPr>
            <w:tcW w:w="439" w:type="pct"/>
            <w:noWrap/>
            <w:vAlign w:val="center"/>
          </w:tcPr>
          <w:p w14:paraId="370D478E">
            <w:pPr>
              <w:pStyle w:val="93"/>
              <w:spacing w:line="360" w:lineRule="auto"/>
              <w:jc w:val="center"/>
              <w:rPr>
                <w:rFonts w:cs="Times New Roman"/>
                <w:sz w:val="20"/>
                <w:szCs w:val="20"/>
              </w:rPr>
            </w:pPr>
            <w:r>
              <w:rPr>
                <w:rFonts w:cs="Times New Roman"/>
                <w:sz w:val="20"/>
                <w:szCs w:val="20"/>
              </w:rPr>
              <w:t>0.9681</w:t>
            </w:r>
          </w:p>
        </w:tc>
        <w:tc>
          <w:tcPr>
            <w:tcW w:w="439" w:type="pct"/>
            <w:noWrap/>
            <w:vAlign w:val="center"/>
          </w:tcPr>
          <w:p w14:paraId="137ED93F">
            <w:pPr>
              <w:pStyle w:val="93"/>
              <w:spacing w:line="360" w:lineRule="auto"/>
              <w:jc w:val="center"/>
              <w:rPr>
                <w:rFonts w:cs="Times New Roman"/>
                <w:sz w:val="20"/>
                <w:szCs w:val="20"/>
              </w:rPr>
            </w:pPr>
            <w:r>
              <w:rPr>
                <w:rFonts w:cs="Times New Roman"/>
                <w:sz w:val="20"/>
                <w:szCs w:val="20"/>
              </w:rPr>
              <w:t>1.0860</w:t>
            </w:r>
          </w:p>
        </w:tc>
        <w:tc>
          <w:tcPr>
            <w:tcW w:w="439" w:type="pct"/>
            <w:noWrap/>
            <w:vAlign w:val="center"/>
          </w:tcPr>
          <w:p w14:paraId="04610462">
            <w:pPr>
              <w:pStyle w:val="93"/>
              <w:spacing w:line="360" w:lineRule="auto"/>
              <w:jc w:val="center"/>
              <w:rPr>
                <w:rFonts w:cs="Times New Roman"/>
                <w:sz w:val="20"/>
                <w:szCs w:val="20"/>
              </w:rPr>
            </w:pPr>
            <w:r>
              <w:rPr>
                <w:rFonts w:cs="Times New Roman"/>
                <w:sz w:val="20"/>
                <w:szCs w:val="20"/>
              </w:rPr>
              <w:t>0.9851</w:t>
            </w:r>
          </w:p>
        </w:tc>
        <w:tc>
          <w:tcPr>
            <w:tcW w:w="438" w:type="pct"/>
            <w:noWrap/>
            <w:vAlign w:val="center"/>
          </w:tcPr>
          <w:p w14:paraId="18F1C373">
            <w:pPr>
              <w:pStyle w:val="93"/>
              <w:spacing w:line="360" w:lineRule="auto"/>
              <w:jc w:val="center"/>
              <w:rPr>
                <w:rFonts w:cs="Times New Roman"/>
                <w:sz w:val="20"/>
                <w:szCs w:val="20"/>
              </w:rPr>
            </w:pPr>
            <w:r>
              <w:rPr>
                <w:rFonts w:cs="Times New Roman"/>
                <w:sz w:val="20"/>
                <w:szCs w:val="20"/>
              </w:rPr>
              <w:t>0.9818</w:t>
            </w:r>
          </w:p>
        </w:tc>
      </w:tr>
      <w:tr w14:paraId="3297AC09">
        <w:tblPrEx>
          <w:tblCellMar>
            <w:top w:w="0" w:type="dxa"/>
            <w:left w:w="108" w:type="dxa"/>
            <w:bottom w:w="0" w:type="dxa"/>
            <w:right w:w="108" w:type="dxa"/>
          </w:tblCellMar>
        </w:tblPrEx>
        <w:trPr>
          <w:trHeight w:val="288" w:hRule="atLeast"/>
          <w:tblHeader/>
        </w:trPr>
        <w:tc>
          <w:tcPr>
            <w:tcW w:w="611" w:type="pct"/>
            <w:noWrap/>
            <w:vAlign w:val="center"/>
          </w:tcPr>
          <w:p w14:paraId="775BD038">
            <w:pPr>
              <w:pStyle w:val="93"/>
              <w:spacing w:line="360" w:lineRule="auto"/>
              <w:jc w:val="center"/>
              <w:rPr>
                <w:rFonts w:cs="Times New Roman"/>
                <w:sz w:val="20"/>
                <w:szCs w:val="20"/>
              </w:rPr>
            </w:pPr>
            <w:r>
              <w:rPr>
                <w:rFonts w:cs="Times New Roman"/>
                <w:sz w:val="20"/>
                <w:szCs w:val="20"/>
              </w:rPr>
              <w:t>2016-2017</w:t>
            </w:r>
          </w:p>
        </w:tc>
        <w:tc>
          <w:tcPr>
            <w:tcW w:w="439" w:type="pct"/>
            <w:noWrap/>
            <w:vAlign w:val="center"/>
          </w:tcPr>
          <w:p w14:paraId="184FF9DE">
            <w:pPr>
              <w:pStyle w:val="93"/>
              <w:spacing w:line="360" w:lineRule="auto"/>
              <w:jc w:val="center"/>
              <w:rPr>
                <w:rFonts w:cs="Times New Roman"/>
                <w:sz w:val="20"/>
                <w:szCs w:val="20"/>
              </w:rPr>
            </w:pPr>
            <w:r>
              <w:rPr>
                <w:rFonts w:cs="Times New Roman"/>
                <w:sz w:val="20"/>
                <w:szCs w:val="20"/>
              </w:rPr>
              <w:t>1.1250</w:t>
            </w:r>
          </w:p>
        </w:tc>
        <w:tc>
          <w:tcPr>
            <w:tcW w:w="439" w:type="pct"/>
            <w:noWrap/>
            <w:vAlign w:val="center"/>
          </w:tcPr>
          <w:p w14:paraId="4F318780">
            <w:pPr>
              <w:pStyle w:val="93"/>
              <w:spacing w:line="360" w:lineRule="auto"/>
              <w:jc w:val="center"/>
              <w:rPr>
                <w:rFonts w:cs="Times New Roman"/>
                <w:sz w:val="20"/>
                <w:szCs w:val="20"/>
              </w:rPr>
            </w:pPr>
            <w:r>
              <w:rPr>
                <w:rFonts w:cs="Times New Roman"/>
                <w:sz w:val="20"/>
                <w:szCs w:val="20"/>
              </w:rPr>
              <w:t>0.9714</w:t>
            </w:r>
          </w:p>
        </w:tc>
        <w:tc>
          <w:tcPr>
            <w:tcW w:w="439" w:type="pct"/>
            <w:noWrap/>
            <w:vAlign w:val="center"/>
          </w:tcPr>
          <w:p w14:paraId="3A2808C6">
            <w:pPr>
              <w:pStyle w:val="93"/>
              <w:spacing w:line="360" w:lineRule="auto"/>
              <w:jc w:val="center"/>
              <w:rPr>
                <w:rFonts w:cs="Times New Roman"/>
                <w:sz w:val="20"/>
                <w:szCs w:val="20"/>
              </w:rPr>
            </w:pPr>
            <w:r>
              <w:rPr>
                <w:rFonts w:cs="Times New Roman"/>
                <w:sz w:val="20"/>
                <w:szCs w:val="20"/>
              </w:rPr>
              <w:t>1.1770</w:t>
            </w:r>
          </w:p>
        </w:tc>
        <w:tc>
          <w:tcPr>
            <w:tcW w:w="439" w:type="pct"/>
            <w:noWrap/>
            <w:vAlign w:val="center"/>
          </w:tcPr>
          <w:p w14:paraId="2CE57484">
            <w:pPr>
              <w:pStyle w:val="93"/>
              <w:spacing w:line="360" w:lineRule="auto"/>
              <w:jc w:val="center"/>
              <w:rPr>
                <w:rFonts w:cs="Times New Roman"/>
                <w:sz w:val="20"/>
                <w:szCs w:val="20"/>
              </w:rPr>
            </w:pPr>
            <w:r>
              <w:rPr>
                <w:rFonts w:cs="Times New Roman"/>
                <w:sz w:val="20"/>
                <w:szCs w:val="20"/>
              </w:rPr>
              <w:t>0.9668</w:t>
            </w:r>
          </w:p>
        </w:tc>
        <w:tc>
          <w:tcPr>
            <w:tcW w:w="439" w:type="pct"/>
            <w:noWrap/>
            <w:vAlign w:val="center"/>
          </w:tcPr>
          <w:p w14:paraId="79B3A499">
            <w:pPr>
              <w:pStyle w:val="93"/>
              <w:spacing w:line="360" w:lineRule="auto"/>
              <w:jc w:val="center"/>
              <w:rPr>
                <w:rFonts w:cs="Times New Roman"/>
                <w:sz w:val="20"/>
                <w:szCs w:val="20"/>
              </w:rPr>
            </w:pPr>
            <w:r>
              <w:rPr>
                <w:rFonts w:cs="Times New Roman"/>
                <w:sz w:val="20"/>
                <w:szCs w:val="20"/>
              </w:rPr>
              <w:t>1.1463</w:t>
            </w:r>
          </w:p>
        </w:tc>
        <w:tc>
          <w:tcPr>
            <w:tcW w:w="439" w:type="pct"/>
            <w:noWrap/>
            <w:vAlign w:val="center"/>
          </w:tcPr>
          <w:p w14:paraId="7BBE67B5">
            <w:pPr>
              <w:pStyle w:val="93"/>
              <w:spacing w:line="360" w:lineRule="auto"/>
              <w:jc w:val="center"/>
              <w:rPr>
                <w:rFonts w:cs="Times New Roman"/>
                <w:sz w:val="20"/>
                <w:szCs w:val="20"/>
              </w:rPr>
            </w:pPr>
            <w:r>
              <w:rPr>
                <w:rFonts w:cs="Times New Roman"/>
                <w:sz w:val="20"/>
                <w:szCs w:val="20"/>
              </w:rPr>
              <w:t>1.0188</w:t>
            </w:r>
          </w:p>
        </w:tc>
        <w:tc>
          <w:tcPr>
            <w:tcW w:w="439" w:type="pct"/>
            <w:noWrap/>
            <w:vAlign w:val="center"/>
          </w:tcPr>
          <w:p w14:paraId="529D7AC5">
            <w:pPr>
              <w:pStyle w:val="93"/>
              <w:spacing w:line="360" w:lineRule="auto"/>
              <w:jc w:val="center"/>
              <w:rPr>
                <w:rFonts w:cs="Times New Roman"/>
                <w:sz w:val="20"/>
                <w:szCs w:val="20"/>
              </w:rPr>
            </w:pPr>
            <w:r>
              <w:rPr>
                <w:rFonts w:cs="Times New Roman"/>
                <w:sz w:val="20"/>
                <w:szCs w:val="20"/>
              </w:rPr>
              <w:t>0.9964</w:t>
            </w:r>
          </w:p>
        </w:tc>
        <w:tc>
          <w:tcPr>
            <w:tcW w:w="439" w:type="pct"/>
            <w:noWrap/>
            <w:vAlign w:val="center"/>
          </w:tcPr>
          <w:p w14:paraId="7E7BC6AE">
            <w:pPr>
              <w:pStyle w:val="93"/>
              <w:spacing w:line="360" w:lineRule="auto"/>
              <w:jc w:val="center"/>
              <w:rPr>
                <w:rFonts w:cs="Times New Roman"/>
                <w:sz w:val="20"/>
                <w:szCs w:val="20"/>
              </w:rPr>
            </w:pPr>
            <w:r>
              <w:rPr>
                <w:rFonts w:cs="Times New Roman"/>
                <w:sz w:val="20"/>
                <w:szCs w:val="20"/>
              </w:rPr>
              <w:t>1.0263</w:t>
            </w:r>
          </w:p>
        </w:tc>
        <w:tc>
          <w:tcPr>
            <w:tcW w:w="439" w:type="pct"/>
            <w:noWrap/>
            <w:vAlign w:val="center"/>
          </w:tcPr>
          <w:p w14:paraId="6D820FB9">
            <w:pPr>
              <w:pStyle w:val="93"/>
              <w:spacing w:line="360" w:lineRule="auto"/>
              <w:jc w:val="center"/>
              <w:rPr>
                <w:rFonts w:cs="Times New Roman"/>
                <w:sz w:val="20"/>
                <w:szCs w:val="20"/>
              </w:rPr>
            </w:pPr>
            <w:r>
              <w:rPr>
                <w:rFonts w:cs="Times New Roman"/>
                <w:sz w:val="20"/>
                <w:szCs w:val="20"/>
              </w:rPr>
              <w:t>0.9975</w:t>
            </w:r>
          </w:p>
        </w:tc>
        <w:tc>
          <w:tcPr>
            <w:tcW w:w="438" w:type="pct"/>
            <w:noWrap/>
            <w:vAlign w:val="center"/>
          </w:tcPr>
          <w:p w14:paraId="31A218A1">
            <w:pPr>
              <w:pStyle w:val="93"/>
              <w:spacing w:line="360" w:lineRule="auto"/>
              <w:jc w:val="center"/>
              <w:rPr>
                <w:rFonts w:cs="Times New Roman"/>
                <w:sz w:val="20"/>
                <w:szCs w:val="20"/>
              </w:rPr>
            </w:pPr>
            <w:r>
              <w:rPr>
                <w:rFonts w:cs="Times New Roman"/>
                <w:sz w:val="20"/>
                <w:szCs w:val="20"/>
              </w:rPr>
              <w:t>0.9983</w:t>
            </w:r>
          </w:p>
        </w:tc>
      </w:tr>
      <w:tr w14:paraId="23AA757D">
        <w:tblPrEx>
          <w:tblCellMar>
            <w:top w:w="0" w:type="dxa"/>
            <w:left w:w="108" w:type="dxa"/>
            <w:bottom w:w="0" w:type="dxa"/>
            <w:right w:w="108" w:type="dxa"/>
          </w:tblCellMar>
        </w:tblPrEx>
        <w:trPr>
          <w:trHeight w:val="288" w:hRule="atLeast"/>
          <w:tblHeader/>
        </w:trPr>
        <w:tc>
          <w:tcPr>
            <w:tcW w:w="611" w:type="pct"/>
            <w:noWrap/>
            <w:vAlign w:val="center"/>
          </w:tcPr>
          <w:p w14:paraId="7FAF9D0C">
            <w:pPr>
              <w:pStyle w:val="93"/>
              <w:spacing w:line="360" w:lineRule="auto"/>
              <w:jc w:val="center"/>
              <w:rPr>
                <w:rFonts w:cs="Times New Roman"/>
                <w:sz w:val="20"/>
                <w:szCs w:val="20"/>
              </w:rPr>
            </w:pPr>
            <w:r>
              <w:rPr>
                <w:rFonts w:cs="Times New Roman"/>
                <w:sz w:val="20"/>
                <w:szCs w:val="20"/>
              </w:rPr>
              <w:t>2017-2018</w:t>
            </w:r>
          </w:p>
        </w:tc>
        <w:tc>
          <w:tcPr>
            <w:tcW w:w="439" w:type="pct"/>
            <w:noWrap/>
            <w:vAlign w:val="center"/>
          </w:tcPr>
          <w:p w14:paraId="0F28D604">
            <w:pPr>
              <w:pStyle w:val="93"/>
              <w:spacing w:line="360" w:lineRule="auto"/>
              <w:jc w:val="center"/>
              <w:rPr>
                <w:rFonts w:cs="Times New Roman"/>
                <w:sz w:val="20"/>
                <w:szCs w:val="20"/>
              </w:rPr>
            </w:pPr>
            <w:r>
              <w:rPr>
                <w:rFonts w:cs="Times New Roman"/>
                <w:sz w:val="20"/>
                <w:szCs w:val="20"/>
              </w:rPr>
              <w:t>1.0954</w:t>
            </w:r>
          </w:p>
        </w:tc>
        <w:tc>
          <w:tcPr>
            <w:tcW w:w="439" w:type="pct"/>
            <w:noWrap/>
            <w:vAlign w:val="center"/>
          </w:tcPr>
          <w:p w14:paraId="2CA70649">
            <w:pPr>
              <w:pStyle w:val="93"/>
              <w:spacing w:line="360" w:lineRule="auto"/>
              <w:jc w:val="center"/>
              <w:rPr>
                <w:rFonts w:cs="Times New Roman"/>
                <w:sz w:val="20"/>
                <w:szCs w:val="20"/>
              </w:rPr>
            </w:pPr>
            <w:r>
              <w:rPr>
                <w:rFonts w:cs="Times New Roman"/>
                <w:sz w:val="20"/>
                <w:szCs w:val="20"/>
              </w:rPr>
              <w:t>0.9983</w:t>
            </w:r>
          </w:p>
        </w:tc>
        <w:tc>
          <w:tcPr>
            <w:tcW w:w="439" w:type="pct"/>
            <w:noWrap/>
            <w:vAlign w:val="center"/>
          </w:tcPr>
          <w:p w14:paraId="1EA8E627">
            <w:pPr>
              <w:pStyle w:val="93"/>
              <w:spacing w:line="360" w:lineRule="auto"/>
              <w:jc w:val="center"/>
              <w:rPr>
                <w:rFonts w:cs="Times New Roman"/>
                <w:sz w:val="20"/>
                <w:szCs w:val="20"/>
              </w:rPr>
            </w:pPr>
            <w:r>
              <w:rPr>
                <w:rFonts w:cs="Times New Roman"/>
                <w:sz w:val="20"/>
                <w:szCs w:val="20"/>
              </w:rPr>
              <w:t>1.0848</w:t>
            </w:r>
          </w:p>
        </w:tc>
        <w:tc>
          <w:tcPr>
            <w:tcW w:w="439" w:type="pct"/>
            <w:noWrap/>
            <w:vAlign w:val="center"/>
          </w:tcPr>
          <w:p w14:paraId="50923285">
            <w:pPr>
              <w:pStyle w:val="93"/>
              <w:spacing w:line="360" w:lineRule="auto"/>
              <w:jc w:val="center"/>
              <w:rPr>
                <w:rFonts w:cs="Times New Roman"/>
                <w:sz w:val="20"/>
                <w:szCs w:val="20"/>
              </w:rPr>
            </w:pPr>
            <w:r>
              <w:rPr>
                <w:rFonts w:cs="Times New Roman"/>
                <w:sz w:val="20"/>
                <w:szCs w:val="20"/>
              </w:rPr>
              <w:t>1.0682</w:t>
            </w:r>
          </w:p>
        </w:tc>
        <w:tc>
          <w:tcPr>
            <w:tcW w:w="439" w:type="pct"/>
            <w:noWrap/>
            <w:vAlign w:val="center"/>
          </w:tcPr>
          <w:p w14:paraId="13A8F5AE">
            <w:pPr>
              <w:pStyle w:val="93"/>
              <w:spacing w:line="360" w:lineRule="auto"/>
              <w:jc w:val="center"/>
              <w:rPr>
                <w:rFonts w:cs="Times New Roman"/>
                <w:sz w:val="20"/>
                <w:szCs w:val="20"/>
              </w:rPr>
            </w:pPr>
            <w:r>
              <w:rPr>
                <w:rFonts w:cs="Times New Roman"/>
                <w:sz w:val="20"/>
                <w:szCs w:val="20"/>
              </w:rPr>
              <w:t>1.0106</w:t>
            </w:r>
          </w:p>
        </w:tc>
        <w:tc>
          <w:tcPr>
            <w:tcW w:w="439" w:type="pct"/>
            <w:noWrap/>
            <w:vAlign w:val="center"/>
          </w:tcPr>
          <w:p w14:paraId="53E5D420">
            <w:pPr>
              <w:pStyle w:val="93"/>
              <w:spacing w:line="360" w:lineRule="auto"/>
              <w:jc w:val="center"/>
              <w:rPr>
                <w:rFonts w:cs="Times New Roman"/>
                <w:sz w:val="20"/>
                <w:szCs w:val="20"/>
              </w:rPr>
            </w:pPr>
            <w:r>
              <w:rPr>
                <w:rFonts w:cs="Times New Roman"/>
                <w:sz w:val="20"/>
                <w:szCs w:val="20"/>
              </w:rPr>
              <w:t>0.9958</w:t>
            </w:r>
          </w:p>
        </w:tc>
        <w:tc>
          <w:tcPr>
            <w:tcW w:w="439" w:type="pct"/>
            <w:noWrap/>
            <w:vAlign w:val="center"/>
          </w:tcPr>
          <w:p w14:paraId="3307A724">
            <w:pPr>
              <w:pStyle w:val="93"/>
              <w:spacing w:line="360" w:lineRule="auto"/>
              <w:jc w:val="center"/>
              <w:rPr>
                <w:rFonts w:cs="Times New Roman"/>
                <w:sz w:val="20"/>
                <w:szCs w:val="20"/>
              </w:rPr>
            </w:pPr>
            <w:r>
              <w:rPr>
                <w:rFonts w:cs="Times New Roman"/>
                <w:sz w:val="20"/>
                <w:szCs w:val="20"/>
              </w:rPr>
              <w:t>0.9368</w:t>
            </w:r>
          </w:p>
        </w:tc>
        <w:tc>
          <w:tcPr>
            <w:tcW w:w="439" w:type="pct"/>
            <w:noWrap/>
            <w:vAlign w:val="center"/>
          </w:tcPr>
          <w:p w14:paraId="47A3EFE9">
            <w:pPr>
              <w:pStyle w:val="93"/>
              <w:spacing w:line="360" w:lineRule="auto"/>
              <w:jc w:val="center"/>
              <w:rPr>
                <w:rFonts w:cs="Times New Roman"/>
                <w:sz w:val="20"/>
                <w:szCs w:val="20"/>
              </w:rPr>
            </w:pPr>
            <w:r>
              <w:rPr>
                <w:rFonts w:cs="Times New Roman"/>
                <w:sz w:val="20"/>
                <w:szCs w:val="20"/>
              </w:rPr>
              <w:t>1.1315</w:t>
            </w:r>
          </w:p>
        </w:tc>
        <w:tc>
          <w:tcPr>
            <w:tcW w:w="439" w:type="pct"/>
            <w:noWrap/>
            <w:vAlign w:val="center"/>
          </w:tcPr>
          <w:p w14:paraId="7737A3B2">
            <w:pPr>
              <w:pStyle w:val="93"/>
              <w:spacing w:line="360" w:lineRule="auto"/>
              <w:jc w:val="center"/>
              <w:rPr>
                <w:rFonts w:cs="Times New Roman"/>
                <w:sz w:val="20"/>
                <w:szCs w:val="20"/>
              </w:rPr>
            </w:pPr>
            <w:r>
              <w:rPr>
                <w:rFonts w:cs="Times New Roman"/>
                <w:sz w:val="20"/>
                <w:szCs w:val="20"/>
              </w:rPr>
              <w:t>0.9833</w:t>
            </w:r>
          </w:p>
        </w:tc>
        <w:tc>
          <w:tcPr>
            <w:tcW w:w="438" w:type="pct"/>
            <w:noWrap/>
            <w:vAlign w:val="center"/>
          </w:tcPr>
          <w:p w14:paraId="2C8FCCA4">
            <w:pPr>
              <w:pStyle w:val="93"/>
              <w:spacing w:line="360" w:lineRule="auto"/>
              <w:jc w:val="center"/>
              <w:rPr>
                <w:rFonts w:cs="Times New Roman"/>
                <w:sz w:val="20"/>
                <w:szCs w:val="20"/>
              </w:rPr>
            </w:pPr>
            <w:r>
              <w:rPr>
                <w:rFonts w:cs="Times New Roman"/>
                <w:sz w:val="20"/>
                <w:szCs w:val="20"/>
              </w:rPr>
              <w:t>0.9517</w:t>
            </w:r>
          </w:p>
        </w:tc>
      </w:tr>
      <w:tr w14:paraId="370D0FE6">
        <w:tblPrEx>
          <w:tblCellMar>
            <w:top w:w="0" w:type="dxa"/>
            <w:left w:w="108" w:type="dxa"/>
            <w:bottom w:w="0" w:type="dxa"/>
            <w:right w:w="108" w:type="dxa"/>
          </w:tblCellMar>
        </w:tblPrEx>
        <w:trPr>
          <w:trHeight w:val="288" w:hRule="atLeast"/>
          <w:tblHeader/>
        </w:trPr>
        <w:tc>
          <w:tcPr>
            <w:tcW w:w="611" w:type="pct"/>
            <w:noWrap/>
            <w:vAlign w:val="center"/>
          </w:tcPr>
          <w:p w14:paraId="5D6A01F1">
            <w:pPr>
              <w:pStyle w:val="93"/>
              <w:spacing w:line="360" w:lineRule="auto"/>
              <w:jc w:val="center"/>
              <w:rPr>
                <w:rFonts w:cs="Times New Roman"/>
                <w:sz w:val="20"/>
                <w:szCs w:val="20"/>
              </w:rPr>
            </w:pPr>
            <w:r>
              <w:rPr>
                <w:rFonts w:cs="Times New Roman"/>
                <w:sz w:val="20"/>
                <w:szCs w:val="20"/>
              </w:rPr>
              <w:t>2018-2019</w:t>
            </w:r>
          </w:p>
        </w:tc>
        <w:tc>
          <w:tcPr>
            <w:tcW w:w="439" w:type="pct"/>
            <w:noWrap/>
            <w:vAlign w:val="center"/>
          </w:tcPr>
          <w:p w14:paraId="46D969F8">
            <w:pPr>
              <w:pStyle w:val="93"/>
              <w:spacing w:line="360" w:lineRule="auto"/>
              <w:jc w:val="center"/>
              <w:rPr>
                <w:rFonts w:cs="Times New Roman"/>
                <w:sz w:val="20"/>
                <w:szCs w:val="20"/>
              </w:rPr>
            </w:pPr>
            <w:r>
              <w:rPr>
                <w:rFonts w:cs="Times New Roman"/>
                <w:sz w:val="20"/>
                <w:szCs w:val="20"/>
              </w:rPr>
              <w:t>1.0765</w:t>
            </w:r>
          </w:p>
        </w:tc>
        <w:tc>
          <w:tcPr>
            <w:tcW w:w="439" w:type="pct"/>
            <w:noWrap/>
            <w:vAlign w:val="center"/>
          </w:tcPr>
          <w:p w14:paraId="1DC32CC2">
            <w:pPr>
              <w:pStyle w:val="93"/>
              <w:spacing w:line="360" w:lineRule="auto"/>
              <w:jc w:val="center"/>
              <w:rPr>
                <w:rFonts w:cs="Times New Roman"/>
                <w:sz w:val="20"/>
                <w:szCs w:val="20"/>
              </w:rPr>
            </w:pPr>
            <w:r>
              <w:rPr>
                <w:rFonts w:cs="Times New Roman"/>
                <w:sz w:val="20"/>
                <w:szCs w:val="20"/>
              </w:rPr>
              <w:t>1.0294</w:t>
            </w:r>
          </w:p>
        </w:tc>
        <w:tc>
          <w:tcPr>
            <w:tcW w:w="439" w:type="pct"/>
            <w:noWrap/>
            <w:vAlign w:val="center"/>
          </w:tcPr>
          <w:p w14:paraId="6398C3E6">
            <w:pPr>
              <w:pStyle w:val="93"/>
              <w:spacing w:line="360" w:lineRule="auto"/>
              <w:jc w:val="center"/>
              <w:rPr>
                <w:rFonts w:cs="Times New Roman"/>
                <w:sz w:val="20"/>
                <w:szCs w:val="20"/>
              </w:rPr>
            </w:pPr>
            <w:r>
              <w:rPr>
                <w:rFonts w:cs="Times New Roman"/>
                <w:sz w:val="20"/>
                <w:szCs w:val="20"/>
              </w:rPr>
              <w:t>1.0521</w:t>
            </w:r>
          </w:p>
        </w:tc>
        <w:tc>
          <w:tcPr>
            <w:tcW w:w="439" w:type="pct"/>
            <w:noWrap/>
            <w:vAlign w:val="center"/>
          </w:tcPr>
          <w:p w14:paraId="76A03BF2">
            <w:pPr>
              <w:pStyle w:val="93"/>
              <w:spacing w:line="360" w:lineRule="auto"/>
              <w:jc w:val="center"/>
              <w:rPr>
                <w:rFonts w:cs="Times New Roman"/>
                <w:sz w:val="20"/>
                <w:szCs w:val="20"/>
              </w:rPr>
            </w:pPr>
            <w:r>
              <w:rPr>
                <w:rFonts w:cs="Times New Roman"/>
                <w:sz w:val="20"/>
                <w:szCs w:val="20"/>
              </w:rPr>
              <w:t>0.8953</w:t>
            </w:r>
          </w:p>
        </w:tc>
        <w:tc>
          <w:tcPr>
            <w:tcW w:w="439" w:type="pct"/>
            <w:noWrap/>
            <w:vAlign w:val="center"/>
          </w:tcPr>
          <w:p w14:paraId="7C28BA9B">
            <w:pPr>
              <w:pStyle w:val="93"/>
              <w:spacing w:line="360" w:lineRule="auto"/>
              <w:jc w:val="center"/>
              <w:rPr>
                <w:rFonts w:cs="Times New Roman"/>
                <w:sz w:val="20"/>
                <w:szCs w:val="20"/>
              </w:rPr>
            </w:pPr>
            <w:r>
              <w:rPr>
                <w:rFonts w:cs="Times New Roman"/>
                <w:sz w:val="20"/>
                <w:szCs w:val="20"/>
              </w:rPr>
              <w:t>1.1362</w:t>
            </w:r>
          </w:p>
        </w:tc>
        <w:tc>
          <w:tcPr>
            <w:tcW w:w="439" w:type="pct"/>
            <w:noWrap/>
            <w:vAlign w:val="center"/>
          </w:tcPr>
          <w:p w14:paraId="418BCAB6">
            <w:pPr>
              <w:pStyle w:val="93"/>
              <w:spacing w:line="360" w:lineRule="auto"/>
              <w:jc w:val="center"/>
              <w:rPr>
                <w:rFonts w:cs="Times New Roman"/>
                <w:sz w:val="20"/>
                <w:szCs w:val="20"/>
              </w:rPr>
            </w:pPr>
            <w:r>
              <w:rPr>
                <w:rFonts w:cs="Times New Roman"/>
                <w:sz w:val="20"/>
                <w:szCs w:val="20"/>
              </w:rPr>
              <w:t>1.0539</w:t>
            </w:r>
          </w:p>
        </w:tc>
        <w:tc>
          <w:tcPr>
            <w:tcW w:w="439" w:type="pct"/>
            <w:noWrap/>
            <w:vAlign w:val="center"/>
          </w:tcPr>
          <w:p w14:paraId="2AEC9271">
            <w:pPr>
              <w:pStyle w:val="93"/>
              <w:spacing w:line="360" w:lineRule="auto"/>
              <w:jc w:val="center"/>
              <w:rPr>
                <w:rFonts w:cs="Times New Roman"/>
                <w:sz w:val="20"/>
                <w:szCs w:val="20"/>
              </w:rPr>
            </w:pPr>
            <w:r>
              <w:rPr>
                <w:rFonts w:cs="Times New Roman"/>
                <w:sz w:val="20"/>
                <w:szCs w:val="20"/>
              </w:rPr>
              <w:t>1.1627</w:t>
            </w:r>
          </w:p>
        </w:tc>
        <w:tc>
          <w:tcPr>
            <w:tcW w:w="439" w:type="pct"/>
            <w:noWrap/>
            <w:vAlign w:val="center"/>
          </w:tcPr>
          <w:p w14:paraId="50BAC939">
            <w:pPr>
              <w:pStyle w:val="93"/>
              <w:spacing w:line="360" w:lineRule="auto"/>
              <w:jc w:val="center"/>
              <w:rPr>
                <w:rFonts w:cs="Times New Roman"/>
                <w:sz w:val="20"/>
                <w:szCs w:val="20"/>
              </w:rPr>
            </w:pPr>
            <w:r>
              <w:rPr>
                <w:rFonts w:cs="Times New Roman"/>
                <w:sz w:val="20"/>
                <w:szCs w:val="20"/>
              </w:rPr>
              <w:t>0.9695</w:t>
            </w:r>
          </w:p>
        </w:tc>
        <w:tc>
          <w:tcPr>
            <w:tcW w:w="439" w:type="pct"/>
            <w:noWrap/>
            <w:vAlign w:val="center"/>
          </w:tcPr>
          <w:p w14:paraId="28C6772F">
            <w:pPr>
              <w:pStyle w:val="93"/>
              <w:spacing w:line="360" w:lineRule="auto"/>
              <w:jc w:val="center"/>
              <w:rPr>
                <w:rFonts w:cs="Times New Roman"/>
                <w:sz w:val="20"/>
                <w:szCs w:val="20"/>
              </w:rPr>
            </w:pPr>
            <w:r>
              <w:rPr>
                <w:rFonts w:cs="Times New Roman"/>
                <w:sz w:val="20"/>
                <w:szCs w:val="20"/>
              </w:rPr>
              <w:t>1.0255</w:t>
            </w:r>
          </w:p>
        </w:tc>
        <w:tc>
          <w:tcPr>
            <w:tcW w:w="438" w:type="pct"/>
            <w:noWrap/>
            <w:vAlign w:val="center"/>
          </w:tcPr>
          <w:p w14:paraId="60D719FE">
            <w:pPr>
              <w:pStyle w:val="93"/>
              <w:spacing w:line="360" w:lineRule="auto"/>
              <w:jc w:val="center"/>
              <w:rPr>
                <w:rFonts w:cs="Times New Roman"/>
                <w:sz w:val="20"/>
                <w:szCs w:val="20"/>
              </w:rPr>
            </w:pPr>
            <w:r>
              <w:rPr>
                <w:rFonts w:cs="Times New Roman"/>
                <w:sz w:val="20"/>
                <w:szCs w:val="20"/>
              </w:rPr>
              <w:t>1.1335</w:t>
            </w:r>
          </w:p>
        </w:tc>
      </w:tr>
      <w:tr w14:paraId="19F6CCE2">
        <w:tblPrEx>
          <w:tblCellMar>
            <w:top w:w="0" w:type="dxa"/>
            <w:left w:w="108" w:type="dxa"/>
            <w:bottom w:w="0" w:type="dxa"/>
            <w:right w:w="108" w:type="dxa"/>
          </w:tblCellMar>
        </w:tblPrEx>
        <w:trPr>
          <w:trHeight w:val="288" w:hRule="atLeast"/>
          <w:tblHeader/>
        </w:trPr>
        <w:tc>
          <w:tcPr>
            <w:tcW w:w="611" w:type="pct"/>
            <w:noWrap/>
            <w:vAlign w:val="center"/>
          </w:tcPr>
          <w:p w14:paraId="0B27B03E">
            <w:pPr>
              <w:pStyle w:val="93"/>
              <w:spacing w:line="360" w:lineRule="auto"/>
              <w:jc w:val="center"/>
              <w:rPr>
                <w:rFonts w:cs="Times New Roman"/>
                <w:sz w:val="20"/>
                <w:szCs w:val="20"/>
              </w:rPr>
            </w:pPr>
            <w:r>
              <w:rPr>
                <w:rFonts w:cs="Times New Roman"/>
                <w:sz w:val="20"/>
                <w:szCs w:val="20"/>
              </w:rPr>
              <w:t>2019-2020</w:t>
            </w:r>
          </w:p>
        </w:tc>
        <w:tc>
          <w:tcPr>
            <w:tcW w:w="439" w:type="pct"/>
            <w:noWrap/>
            <w:vAlign w:val="center"/>
          </w:tcPr>
          <w:p w14:paraId="0CA0EB28">
            <w:pPr>
              <w:pStyle w:val="93"/>
              <w:spacing w:line="360" w:lineRule="auto"/>
              <w:jc w:val="center"/>
              <w:rPr>
                <w:rFonts w:cs="Times New Roman"/>
                <w:sz w:val="20"/>
                <w:szCs w:val="20"/>
              </w:rPr>
            </w:pPr>
            <w:r>
              <w:rPr>
                <w:rFonts w:cs="Times New Roman"/>
                <w:sz w:val="20"/>
                <w:szCs w:val="20"/>
              </w:rPr>
              <w:t>0.7386</w:t>
            </w:r>
          </w:p>
        </w:tc>
        <w:tc>
          <w:tcPr>
            <w:tcW w:w="439" w:type="pct"/>
            <w:noWrap/>
            <w:vAlign w:val="center"/>
          </w:tcPr>
          <w:p w14:paraId="146A0C97">
            <w:pPr>
              <w:pStyle w:val="93"/>
              <w:spacing w:line="360" w:lineRule="auto"/>
              <w:jc w:val="center"/>
              <w:rPr>
                <w:rFonts w:cs="Times New Roman"/>
                <w:sz w:val="20"/>
                <w:szCs w:val="20"/>
              </w:rPr>
            </w:pPr>
            <w:r>
              <w:rPr>
                <w:rFonts w:cs="Times New Roman"/>
                <w:sz w:val="20"/>
                <w:szCs w:val="20"/>
              </w:rPr>
              <w:t>1.0042</w:t>
            </w:r>
          </w:p>
        </w:tc>
        <w:tc>
          <w:tcPr>
            <w:tcW w:w="439" w:type="pct"/>
            <w:noWrap/>
            <w:vAlign w:val="center"/>
          </w:tcPr>
          <w:p w14:paraId="4371B307">
            <w:pPr>
              <w:pStyle w:val="93"/>
              <w:spacing w:line="360" w:lineRule="auto"/>
              <w:jc w:val="center"/>
              <w:rPr>
                <w:rFonts w:cs="Times New Roman"/>
                <w:sz w:val="20"/>
                <w:szCs w:val="20"/>
              </w:rPr>
            </w:pPr>
            <w:r>
              <w:rPr>
                <w:rFonts w:cs="Times New Roman"/>
                <w:sz w:val="20"/>
                <w:szCs w:val="20"/>
              </w:rPr>
              <w:t>0.7851</w:t>
            </w:r>
          </w:p>
        </w:tc>
        <w:tc>
          <w:tcPr>
            <w:tcW w:w="439" w:type="pct"/>
            <w:noWrap/>
            <w:vAlign w:val="center"/>
          </w:tcPr>
          <w:p w14:paraId="7BEDF9E4">
            <w:pPr>
              <w:pStyle w:val="93"/>
              <w:spacing w:line="360" w:lineRule="auto"/>
              <w:jc w:val="center"/>
              <w:rPr>
                <w:rFonts w:cs="Times New Roman"/>
                <w:sz w:val="20"/>
                <w:szCs w:val="20"/>
              </w:rPr>
            </w:pPr>
            <w:r>
              <w:rPr>
                <w:rFonts w:cs="Times New Roman"/>
                <w:sz w:val="20"/>
                <w:szCs w:val="20"/>
              </w:rPr>
              <w:t>1.1929</w:t>
            </w:r>
          </w:p>
        </w:tc>
        <w:tc>
          <w:tcPr>
            <w:tcW w:w="439" w:type="pct"/>
            <w:noWrap/>
            <w:vAlign w:val="center"/>
          </w:tcPr>
          <w:p w14:paraId="7398A4AC">
            <w:pPr>
              <w:pStyle w:val="93"/>
              <w:spacing w:line="360" w:lineRule="auto"/>
              <w:jc w:val="center"/>
              <w:rPr>
                <w:rFonts w:cs="Times New Roman"/>
                <w:sz w:val="20"/>
                <w:szCs w:val="20"/>
              </w:rPr>
            </w:pPr>
            <w:r>
              <w:rPr>
                <w:rFonts w:cs="Times New Roman"/>
                <w:sz w:val="20"/>
                <w:szCs w:val="20"/>
              </w:rPr>
              <w:t>0.8022</w:t>
            </w:r>
          </w:p>
        </w:tc>
        <w:tc>
          <w:tcPr>
            <w:tcW w:w="439" w:type="pct"/>
            <w:noWrap/>
            <w:vAlign w:val="center"/>
          </w:tcPr>
          <w:p w14:paraId="41F25CA3">
            <w:pPr>
              <w:pStyle w:val="93"/>
              <w:spacing w:line="360" w:lineRule="auto"/>
              <w:jc w:val="center"/>
              <w:rPr>
                <w:rFonts w:cs="Times New Roman"/>
                <w:sz w:val="20"/>
                <w:szCs w:val="20"/>
              </w:rPr>
            </w:pPr>
            <w:r>
              <w:rPr>
                <w:rFonts w:cs="Times New Roman"/>
                <w:sz w:val="20"/>
                <w:szCs w:val="20"/>
              </w:rPr>
              <w:t>0.8024</w:t>
            </w:r>
          </w:p>
        </w:tc>
        <w:tc>
          <w:tcPr>
            <w:tcW w:w="439" w:type="pct"/>
            <w:noWrap/>
            <w:vAlign w:val="center"/>
          </w:tcPr>
          <w:p w14:paraId="09D8A053">
            <w:pPr>
              <w:pStyle w:val="93"/>
              <w:spacing w:line="360" w:lineRule="auto"/>
              <w:jc w:val="center"/>
              <w:rPr>
                <w:rFonts w:cs="Times New Roman"/>
                <w:sz w:val="20"/>
                <w:szCs w:val="20"/>
              </w:rPr>
            </w:pPr>
            <w:r>
              <w:rPr>
                <w:rFonts w:cs="Times New Roman"/>
                <w:sz w:val="20"/>
                <w:szCs w:val="20"/>
              </w:rPr>
              <w:t>0.8231</w:t>
            </w:r>
          </w:p>
        </w:tc>
        <w:tc>
          <w:tcPr>
            <w:tcW w:w="439" w:type="pct"/>
            <w:noWrap/>
            <w:vAlign w:val="center"/>
          </w:tcPr>
          <w:p w14:paraId="568B5217">
            <w:pPr>
              <w:pStyle w:val="93"/>
              <w:spacing w:line="360" w:lineRule="auto"/>
              <w:jc w:val="center"/>
              <w:rPr>
                <w:rFonts w:cs="Times New Roman"/>
                <w:sz w:val="20"/>
                <w:szCs w:val="20"/>
              </w:rPr>
            </w:pPr>
            <w:r>
              <w:rPr>
                <w:rFonts w:cs="Times New Roman"/>
                <w:sz w:val="20"/>
                <w:szCs w:val="20"/>
              </w:rPr>
              <w:t>0.9983</w:t>
            </w:r>
          </w:p>
        </w:tc>
        <w:tc>
          <w:tcPr>
            <w:tcW w:w="439" w:type="pct"/>
            <w:noWrap/>
            <w:vAlign w:val="center"/>
          </w:tcPr>
          <w:p w14:paraId="39D91033">
            <w:pPr>
              <w:pStyle w:val="93"/>
              <w:spacing w:line="360" w:lineRule="auto"/>
              <w:jc w:val="center"/>
              <w:rPr>
                <w:rFonts w:cs="Times New Roman"/>
                <w:sz w:val="20"/>
                <w:szCs w:val="20"/>
              </w:rPr>
            </w:pPr>
            <w:r>
              <w:rPr>
                <w:rFonts w:cs="Times New Roman"/>
                <w:sz w:val="20"/>
                <w:szCs w:val="20"/>
              </w:rPr>
              <w:t>0.9459</w:t>
            </w:r>
          </w:p>
        </w:tc>
        <w:tc>
          <w:tcPr>
            <w:tcW w:w="438" w:type="pct"/>
            <w:noWrap/>
            <w:vAlign w:val="center"/>
          </w:tcPr>
          <w:p w14:paraId="574F582E">
            <w:pPr>
              <w:pStyle w:val="93"/>
              <w:spacing w:line="360" w:lineRule="auto"/>
              <w:jc w:val="center"/>
              <w:rPr>
                <w:rFonts w:cs="Times New Roman"/>
                <w:sz w:val="20"/>
                <w:szCs w:val="20"/>
              </w:rPr>
            </w:pPr>
            <w:r>
              <w:rPr>
                <w:rFonts w:cs="Times New Roman"/>
                <w:sz w:val="20"/>
                <w:szCs w:val="20"/>
              </w:rPr>
              <w:t>0.8687</w:t>
            </w:r>
          </w:p>
        </w:tc>
      </w:tr>
      <w:tr w14:paraId="16B2EA06">
        <w:tblPrEx>
          <w:tblCellMar>
            <w:top w:w="0" w:type="dxa"/>
            <w:left w:w="108" w:type="dxa"/>
            <w:bottom w:w="0" w:type="dxa"/>
            <w:right w:w="108" w:type="dxa"/>
          </w:tblCellMar>
        </w:tblPrEx>
        <w:trPr>
          <w:trHeight w:val="288" w:hRule="atLeast"/>
          <w:tblHeader/>
        </w:trPr>
        <w:tc>
          <w:tcPr>
            <w:tcW w:w="611" w:type="pct"/>
            <w:noWrap/>
            <w:vAlign w:val="center"/>
          </w:tcPr>
          <w:p w14:paraId="2C1EAA5B">
            <w:pPr>
              <w:pStyle w:val="93"/>
              <w:spacing w:line="360" w:lineRule="auto"/>
              <w:jc w:val="center"/>
              <w:rPr>
                <w:rFonts w:cs="Times New Roman"/>
                <w:sz w:val="20"/>
                <w:szCs w:val="20"/>
              </w:rPr>
            </w:pPr>
            <w:r>
              <w:rPr>
                <w:rFonts w:cs="Times New Roman"/>
                <w:sz w:val="20"/>
                <w:szCs w:val="20"/>
              </w:rPr>
              <w:t>2024-2025</w:t>
            </w:r>
          </w:p>
        </w:tc>
        <w:tc>
          <w:tcPr>
            <w:tcW w:w="439" w:type="pct"/>
            <w:noWrap/>
            <w:vAlign w:val="center"/>
          </w:tcPr>
          <w:p w14:paraId="2F7A3E00">
            <w:pPr>
              <w:pStyle w:val="93"/>
              <w:spacing w:line="360" w:lineRule="auto"/>
              <w:jc w:val="center"/>
              <w:rPr>
                <w:rFonts w:cs="Times New Roman"/>
                <w:sz w:val="20"/>
                <w:szCs w:val="20"/>
              </w:rPr>
            </w:pPr>
            <w:r>
              <w:rPr>
                <w:rFonts w:cs="Times New Roman"/>
                <w:sz w:val="20"/>
                <w:szCs w:val="20"/>
              </w:rPr>
              <w:t>0.9746</w:t>
            </w:r>
          </w:p>
        </w:tc>
        <w:tc>
          <w:tcPr>
            <w:tcW w:w="439" w:type="pct"/>
            <w:noWrap/>
            <w:vAlign w:val="center"/>
          </w:tcPr>
          <w:p w14:paraId="7FA950C6">
            <w:pPr>
              <w:pStyle w:val="93"/>
              <w:spacing w:line="360" w:lineRule="auto"/>
              <w:jc w:val="center"/>
              <w:rPr>
                <w:rFonts w:cs="Times New Roman"/>
                <w:sz w:val="20"/>
                <w:szCs w:val="20"/>
              </w:rPr>
            </w:pPr>
            <w:r>
              <w:rPr>
                <w:rFonts w:cs="Times New Roman"/>
                <w:sz w:val="20"/>
                <w:szCs w:val="20"/>
              </w:rPr>
              <w:t>1.0983</w:t>
            </w:r>
          </w:p>
        </w:tc>
        <w:tc>
          <w:tcPr>
            <w:tcW w:w="439" w:type="pct"/>
            <w:noWrap/>
            <w:vAlign w:val="center"/>
          </w:tcPr>
          <w:p w14:paraId="1D8CC6C6">
            <w:pPr>
              <w:pStyle w:val="93"/>
              <w:spacing w:line="360" w:lineRule="auto"/>
              <w:jc w:val="center"/>
              <w:rPr>
                <w:rFonts w:cs="Times New Roman"/>
                <w:sz w:val="20"/>
                <w:szCs w:val="20"/>
              </w:rPr>
            </w:pPr>
            <w:r>
              <w:rPr>
                <w:rFonts w:cs="Times New Roman"/>
                <w:sz w:val="20"/>
                <w:szCs w:val="20"/>
              </w:rPr>
              <w:t>0.9047</w:t>
            </w:r>
          </w:p>
        </w:tc>
        <w:tc>
          <w:tcPr>
            <w:tcW w:w="439" w:type="pct"/>
            <w:noWrap/>
            <w:vAlign w:val="center"/>
          </w:tcPr>
          <w:p w14:paraId="3CB263BC">
            <w:pPr>
              <w:pStyle w:val="93"/>
              <w:spacing w:line="360" w:lineRule="auto"/>
              <w:jc w:val="center"/>
              <w:rPr>
                <w:rFonts w:cs="Times New Roman"/>
                <w:sz w:val="20"/>
                <w:szCs w:val="20"/>
              </w:rPr>
            </w:pPr>
            <w:r>
              <w:rPr>
                <w:rFonts w:cs="Times New Roman"/>
                <w:sz w:val="20"/>
                <w:szCs w:val="20"/>
              </w:rPr>
              <w:t>1.0748</w:t>
            </w:r>
          </w:p>
        </w:tc>
        <w:tc>
          <w:tcPr>
            <w:tcW w:w="439" w:type="pct"/>
            <w:noWrap/>
            <w:vAlign w:val="center"/>
          </w:tcPr>
          <w:p w14:paraId="22A8F9EB">
            <w:pPr>
              <w:pStyle w:val="93"/>
              <w:spacing w:line="360" w:lineRule="auto"/>
              <w:jc w:val="center"/>
              <w:rPr>
                <w:rFonts w:cs="Times New Roman"/>
                <w:sz w:val="20"/>
                <w:szCs w:val="20"/>
              </w:rPr>
            </w:pPr>
            <w:r>
              <w:rPr>
                <w:rFonts w:cs="Times New Roman"/>
                <w:sz w:val="20"/>
                <w:szCs w:val="20"/>
              </w:rPr>
              <w:t>0.9949</w:t>
            </w:r>
          </w:p>
        </w:tc>
        <w:tc>
          <w:tcPr>
            <w:tcW w:w="439" w:type="pct"/>
            <w:noWrap/>
            <w:vAlign w:val="center"/>
          </w:tcPr>
          <w:p w14:paraId="47885EF3">
            <w:pPr>
              <w:pStyle w:val="93"/>
              <w:spacing w:line="360" w:lineRule="auto"/>
              <w:jc w:val="center"/>
              <w:rPr>
                <w:rFonts w:cs="Times New Roman"/>
                <w:sz w:val="20"/>
                <w:szCs w:val="20"/>
              </w:rPr>
            </w:pPr>
            <w:r>
              <w:rPr>
                <w:rFonts w:cs="Times New Roman"/>
                <w:sz w:val="20"/>
                <w:szCs w:val="20"/>
              </w:rPr>
              <w:t>0.9306</w:t>
            </w:r>
          </w:p>
        </w:tc>
        <w:tc>
          <w:tcPr>
            <w:tcW w:w="439" w:type="pct"/>
            <w:noWrap/>
            <w:vAlign w:val="center"/>
          </w:tcPr>
          <w:p w14:paraId="55AF5B0E">
            <w:pPr>
              <w:pStyle w:val="93"/>
              <w:spacing w:line="360" w:lineRule="auto"/>
              <w:jc w:val="center"/>
              <w:rPr>
                <w:rFonts w:cs="Times New Roman"/>
                <w:sz w:val="20"/>
                <w:szCs w:val="20"/>
              </w:rPr>
            </w:pPr>
            <w:r>
              <w:rPr>
                <w:rFonts w:cs="Times New Roman"/>
                <w:sz w:val="20"/>
                <w:szCs w:val="20"/>
              </w:rPr>
              <w:t>1.0207</w:t>
            </w:r>
          </w:p>
        </w:tc>
        <w:tc>
          <w:tcPr>
            <w:tcW w:w="439" w:type="pct"/>
            <w:noWrap/>
            <w:vAlign w:val="center"/>
          </w:tcPr>
          <w:p w14:paraId="43450C91">
            <w:pPr>
              <w:pStyle w:val="93"/>
              <w:spacing w:line="360" w:lineRule="auto"/>
              <w:jc w:val="center"/>
              <w:rPr>
                <w:rFonts w:cs="Times New Roman"/>
                <w:sz w:val="20"/>
                <w:szCs w:val="20"/>
              </w:rPr>
            </w:pPr>
            <w:r>
              <w:rPr>
                <w:rFonts w:cs="Times New Roman"/>
                <w:sz w:val="20"/>
                <w:szCs w:val="20"/>
              </w:rPr>
              <w:t>0.9361</w:t>
            </w:r>
          </w:p>
        </w:tc>
        <w:tc>
          <w:tcPr>
            <w:tcW w:w="439" w:type="pct"/>
            <w:noWrap/>
            <w:vAlign w:val="center"/>
          </w:tcPr>
          <w:p w14:paraId="4AFFE068">
            <w:pPr>
              <w:pStyle w:val="93"/>
              <w:spacing w:line="360" w:lineRule="auto"/>
              <w:jc w:val="center"/>
              <w:rPr>
                <w:rFonts w:cs="Times New Roman"/>
                <w:sz w:val="20"/>
                <w:szCs w:val="20"/>
              </w:rPr>
            </w:pPr>
            <w:r>
              <w:rPr>
                <w:rFonts w:cs="Times New Roman"/>
                <w:sz w:val="20"/>
                <w:szCs w:val="20"/>
              </w:rPr>
              <w:t>1.0114</w:t>
            </w:r>
          </w:p>
        </w:tc>
        <w:tc>
          <w:tcPr>
            <w:tcW w:w="438" w:type="pct"/>
            <w:noWrap/>
            <w:vAlign w:val="center"/>
          </w:tcPr>
          <w:p w14:paraId="5550C56E">
            <w:pPr>
              <w:pStyle w:val="93"/>
              <w:spacing w:line="360" w:lineRule="auto"/>
              <w:jc w:val="center"/>
              <w:rPr>
                <w:rFonts w:cs="Times New Roman"/>
                <w:sz w:val="20"/>
                <w:szCs w:val="20"/>
              </w:rPr>
            </w:pPr>
            <w:r>
              <w:rPr>
                <w:rFonts w:cs="Times New Roman"/>
                <w:sz w:val="20"/>
                <w:szCs w:val="20"/>
              </w:rPr>
              <w:t>1.0062</w:t>
            </w:r>
          </w:p>
        </w:tc>
      </w:tr>
      <w:tr w14:paraId="0D665042">
        <w:tblPrEx>
          <w:tblCellMar>
            <w:top w:w="0" w:type="dxa"/>
            <w:left w:w="108" w:type="dxa"/>
            <w:bottom w:w="0" w:type="dxa"/>
            <w:right w:w="108" w:type="dxa"/>
          </w:tblCellMar>
        </w:tblPrEx>
        <w:trPr>
          <w:trHeight w:val="288" w:hRule="atLeast"/>
          <w:tblHeader/>
        </w:trPr>
        <w:tc>
          <w:tcPr>
            <w:tcW w:w="611" w:type="pct"/>
            <w:tcBorders>
              <w:bottom w:val="thickThinSmallGap" w:color="auto" w:sz="12" w:space="0"/>
            </w:tcBorders>
            <w:noWrap/>
            <w:vAlign w:val="center"/>
          </w:tcPr>
          <w:p w14:paraId="68C8B295">
            <w:pPr>
              <w:pStyle w:val="93"/>
              <w:spacing w:line="360" w:lineRule="auto"/>
              <w:jc w:val="center"/>
              <w:rPr>
                <w:rFonts w:cs="Times New Roman"/>
                <w:sz w:val="20"/>
                <w:szCs w:val="20"/>
              </w:rPr>
            </w:pPr>
            <w:r>
              <w:rPr>
                <w:rFonts w:cs="Times New Roman"/>
                <w:sz w:val="20"/>
                <w:szCs w:val="20"/>
              </w:rPr>
              <w:t>Geomean</w:t>
            </w:r>
          </w:p>
        </w:tc>
        <w:tc>
          <w:tcPr>
            <w:tcW w:w="439" w:type="pct"/>
            <w:tcBorders>
              <w:bottom w:val="thickThinSmallGap" w:color="auto" w:sz="12" w:space="0"/>
            </w:tcBorders>
            <w:noWrap/>
            <w:vAlign w:val="center"/>
          </w:tcPr>
          <w:p w14:paraId="7677E620">
            <w:pPr>
              <w:pStyle w:val="93"/>
              <w:spacing w:line="360" w:lineRule="auto"/>
              <w:jc w:val="center"/>
              <w:rPr>
                <w:rFonts w:cs="Times New Roman"/>
                <w:sz w:val="20"/>
                <w:szCs w:val="20"/>
              </w:rPr>
            </w:pPr>
            <w:r>
              <w:rPr>
                <w:rFonts w:cs="Times New Roman"/>
                <w:sz w:val="20"/>
                <w:szCs w:val="20"/>
              </w:rPr>
              <w:t>1.0954</w:t>
            </w:r>
          </w:p>
        </w:tc>
        <w:tc>
          <w:tcPr>
            <w:tcW w:w="439" w:type="pct"/>
            <w:tcBorders>
              <w:bottom w:val="thickThinSmallGap" w:color="auto" w:sz="12" w:space="0"/>
            </w:tcBorders>
            <w:noWrap/>
            <w:vAlign w:val="center"/>
          </w:tcPr>
          <w:p w14:paraId="70C45E52">
            <w:pPr>
              <w:pStyle w:val="93"/>
              <w:spacing w:line="360" w:lineRule="auto"/>
              <w:jc w:val="center"/>
              <w:rPr>
                <w:rFonts w:cs="Times New Roman"/>
                <w:sz w:val="20"/>
                <w:szCs w:val="20"/>
              </w:rPr>
            </w:pPr>
            <w:r>
              <w:rPr>
                <w:rFonts w:cs="Times New Roman"/>
                <w:sz w:val="20"/>
                <w:szCs w:val="20"/>
              </w:rPr>
              <w:t>1.1213</w:t>
            </w:r>
          </w:p>
        </w:tc>
        <w:tc>
          <w:tcPr>
            <w:tcW w:w="439" w:type="pct"/>
            <w:tcBorders>
              <w:bottom w:val="thickThinSmallGap" w:color="auto" w:sz="12" w:space="0"/>
            </w:tcBorders>
            <w:noWrap/>
            <w:vAlign w:val="center"/>
          </w:tcPr>
          <w:p w14:paraId="38636401">
            <w:pPr>
              <w:pStyle w:val="93"/>
              <w:spacing w:line="360" w:lineRule="auto"/>
              <w:jc w:val="center"/>
              <w:rPr>
                <w:rFonts w:cs="Times New Roman"/>
                <w:sz w:val="20"/>
                <w:szCs w:val="20"/>
              </w:rPr>
            </w:pPr>
            <w:r>
              <w:rPr>
                <w:rFonts w:cs="Times New Roman"/>
                <w:sz w:val="20"/>
                <w:szCs w:val="20"/>
              </w:rPr>
              <w:t>0.9968</w:t>
            </w:r>
          </w:p>
        </w:tc>
        <w:tc>
          <w:tcPr>
            <w:tcW w:w="439" w:type="pct"/>
            <w:tcBorders>
              <w:bottom w:val="thickThinSmallGap" w:color="auto" w:sz="12" w:space="0"/>
            </w:tcBorders>
            <w:noWrap/>
            <w:vAlign w:val="center"/>
          </w:tcPr>
          <w:p w14:paraId="580049B6">
            <w:pPr>
              <w:pStyle w:val="93"/>
              <w:spacing w:line="360" w:lineRule="auto"/>
              <w:jc w:val="center"/>
              <w:rPr>
                <w:rFonts w:cs="Times New Roman"/>
                <w:sz w:val="20"/>
                <w:szCs w:val="20"/>
              </w:rPr>
            </w:pPr>
            <w:r>
              <w:rPr>
                <w:rFonts w:cs="Times New Roman"/>
                <w:sz w:val="20"/>
                <w:szCs w:val="20"/>
              </w:rPr>
              <w:t>1.0651</w:t>
            </w:r>
          </w:p>
        </w:tc>
        <w:tc>
          <w:tcPr>
            <w:tcW w:w="439" w:type="pct"/>
            <w:tcBorders>
              <w:bottom w:val="thickThinSmallGap" w:color="auto" w:sz="12" w:space="0"/>
            </w:tcBorders>
            <w:noWrap/>
            <w:vAlign w:val="center"/>
          </w:tcPr>
          <w:p w14:paraId="1E18B2AC">
            <w:pPr>
              <w:pStyle w:val="93"/>
              <w:spacing w:line="360" w:lineRule="auto"/>
              <w:jc w:val="center"/>
              <w:rPr>
                <w:rFonts w:cs="Times New Roman"/>
                <w:sz w:val="20"/>
                <w:szCs w:val="20"/>
              </w:rPr>
            </w:pPr>
            <w:r>
              <w:rPr>
                <w:rFonts w:cs="Times New Roman"/>
                <w:sz w:val="20"/>
                <w:szCs w:val="20"/>
              </w:rPr>
              <w:t>1.0085</w:t>
            </w:r>
          </w:p>
        </w:tc>
        <w:tc>
          <w:tcPr>
            <w:tcW w:w="439" w:type="pct"/>
            <w:tcBorders>
              <w:bottom w:val="thickThinSmallGap" w:color="auto" w:sz="12" w:space="0"/>
            </w:tcBorders>
            <w:noWrap/>
            <w:vAlign w:val="center"/>
          </w:tcPr>
          <w:p w14:paraId="348B2503">
            <w:pPr>
              <w:pStyle w:val="93"/>
              <w:spacing w:line="360" w:lineRule="auto"/>
              <w:jc w:val="center"/>
              <w:rPr>
                <w:rFonts w:cs="Times New Roman"/>
                <w:sz w:val="20"/>
                <w:szCs w:val="20"/>
              </w:rPr>
            </w:pPr>
            <w:r>
              <w:rPr>
                <w:rFonts w:cs="Times New Roman"/>
                <w:sz w:val="20"/>
                <w:szCs w:val="20"/>
              </w:rPr>
              <w:t>1.0087</w:t>
            </w:r>
          </w:p>
        </w:tc>
        <w:tc>
          <w:tcPr>
            <w:tcW w:w="439" w:type="pct"/>
            <w:tcBorders>
              <w:bottom w:val="thickThinSmallGap" w:color="auto" w:sz="12" w:space="0"/>
            </w:tcBorders>
            <w:noWrap/>
            <w:vAlign w:val="center"/>
          </w:tcPr>
          <w:p w14:paraId="5917A43A">
            <w:pPr>
              <w:pStyle w:val="93"/>
              <w:spacing w:line="360" w:lineRule="auto"/>
              <w:jc w:val="center"/>
              <w:rPr>
                <w:rFonts w:cs="Times New Roman"/>
                <w:sz w:val="20"/>
                <w:szCs w:val="20"/>
              </w:rPr>
            </w:pPr>
            <w:r>
              <w:rPr>
                <w:rFonts w:cs="Times New Roman"/>
                <w:sz w:val="20"/>
                <w:szCs w:val="20"/>
              </w:rPr>
              <w:t>1.0277</w:t>
            </w:r>
          </w:p>
        </w:tc>
        <w:tc>
          <w:tcPr>
            <w:tcW w:w="439" w:type="pct"/>
            <w:tcBorders>
              <w:bottom w:val="thickThinSmallGap" w:color="auto" w:sz="12" w:space="0"/>
            </w:tcBorders>
            <w:noWrap/>
            <w:vAlign w:val="center"/>
          </w:tcPr>
          <w:p w14:paraId="7B04317D">
            <w:pPr>
              <w:pStyle w:val="93"/>
              <w:spacing w:line="360" w:lineRule="auto"/>
              <w:jc w:val="center"/>
              <w:rPr>
                <w:rFonts w:cs="Times New Roman"/>
                <w:sz w:val="20"/>
                <w:szCs w:val="20"/>
              </w:rPr>
            </w:pPr>
            <w:r>
              <w:rPr>
                <w:rFonts w:cs="Times New Roman"/>
                <w:sz w:val="20"/>
                <w:szCs w:val="20"/>
              </w:rPr>
              <w:t>1.0084</w:t>
            </w:r>
          </w:p>
        </w:tc>
        <w:tc>
          <w:tcPr>
            <w:tcW w:w="439" w:type="pct"/>
            <w:tcBorders>
              <w:bottom w:val="thickThinSmallGap" w:color="auto" w:sz="12" w:space="0"/>
            </w:tcBorders>
            <w:noWrap/>
            <w:vAlign w:val="center"/>
          </w:tcPr>
          <w:p w14:paraId="6AEB823E">
            <w:pPr>
              <w:pStyle w:val="93"/>
              <w:spacing w:line="360" w:lineRule="auto"/>
              <w:jc w:val="center"/>
              <w:rPr>
                <w:rFonts w:cs="Times New Roman"/>
                <w:sz w:val="20"/>
                <w:szCs w:val="20"/>
              </w:rPr>
            </w:pPr>
            <w:r>
              <w:rPr>
                <w:rFonts w:cs="Times New Roman"/>
                <w:sz w:val="20"/>
                <w:szCs w:val="20"/>
              </w:rPr>
              <w:t>0.9953</w:t>
            </w:r>
          </w:p>
        </w:tc>
        <w:tc>
          <w:tcPr>
            <w:tcW w:w="438" w:type="pct"/>
            <w:tcBorders>
              <w:bottom w:val="thickThinSmallGap" w:color="auto" w:sz="12" w:space="0"/>
            </w:tcBorders>
            <w:noWrap/>
            <w:vAlign w:val="center"/>
          </w:tcPr>
          <w:p w14:paraId="67F06BD9">
            <w:pPr>
              <w:pStyle w:val="93"/>
              <w:spacing w:line="360" w:lineRule="auto"/>
              <w:jc w:val="center"/>
              <w:rPr>
                <w:rFonts w:cs="Times New Roman"/>
                <w:sz w:val="20"/>
                <w:szCs w:val="20"/>
              </w:rPr>
            </w:pPr>
            <w:r>
              <w:rPr>
                <w:rFonts w:cs="Times New Roman"/>
                <w:sz w:val="20"/>
                <w:szCs w:val="20"/>
              </w:rPr>
              <w:t>1.0319</w:t>
            </w:r>
          </w:p>
        </w:tc>
      </w:tr>
    </w:tbl>
    <w:p w14:paraId="6E89E0BD">
      <w:pPr>
        <w:spacing w:line="360" w:lineRule="auto"/>
        <w:rPr>
          <w:rFonts w:ascii="Times New Roman" w:hAnsi="Times New Roman"/>
          <w:color w:val="auto"/>
        </w:rPr>
      </w:pPr>
    </w:p>
    <w:p w14:paraId="1E960C5D">
      <w:pPr>
        <w:pStyle w:val="35"/>
        <w:spacing w:line="360" w:lineRule="auto"/>
        <w:ind w:left="0"/>
        <w:rPr>
          <w:rFonts w:ascii="Times New Roman" w:hAnsi="Times New Roman"/>
          <w:color w:val="auto"/>
        </w:rPr>
      </w:pPr>
      <w:r>
        <w:rPr>
          <w:rFonts w:ascii="Times New Roman" w:hAnsi="Times New Roman"/>
          <w:color w:val="auto"/>
        </w:rPr>
        <w:t>(1) From 2007 to 2013, the average TFP of the sample retail companies has continued to increase, with a larger increase in 2009 and 2011, 8.43% and 9.09%, respectively. The TFP increase in 2009 came mainly from technical efficiency change, which increased by 7.29%, and further decomposed, the technical efficiency change came mainly from scale efficiency change. The value of SEC index is 1.0523 in 2009, while the value of PTEC is 1.0201, implying that a small part of the progress is from pure technical efficiency change. Also in 2011, TFP rose sharply, and unlike in 2009, the rise in TFP came from the rise in scale efficiency change and technological progress, as can be seen from the Table 2, the SEC index is 1.1146 in 2011, the TC index is 1.0219 in 2011, while the PTEC index is 0.9885.</w:t>
      </w:r>
    </w:p>
    <w:p w14:paraId="3D9D3261">
      <w:pPr>
        <w:pStyle w:val="35"/>
        <w:spacing w:line="360" w:lineRule="auto"/>
        <w:ind w:left="0"/>
        <w:rPr>
          <w:rFonts w:ascii="Times New Roman" w:hAnsi="Times New Roman"/>
          <w:color w:val="auto"/>
        </w:rPr>
      </w:pPr>
      <w:r>
        <w:rPr>
          <w:rFonts w:ascii="Times New Roman" w:hAnsi="Times New Roman"/>
          <w:color w:val="auto"/>
        </w:rPr>
        <w:t xml:space="preserve">(2) Between 2010 and 2015, the SEC indices of sample retail companies are all greater than 1. This reflects the stage when retail industry in China mainly relied on chain expansion to obtain scale benefits, with chains using scattered stores to sell goods in large quantities, which overcame the original weaknesses of small scale and scattered layout of retail companies and enabled them to achieve low-cost expansion and obtain economies of scale in a marginally profitable space. But too fast expansion also led to a series of problems, such as ignoring capital risks, integration of corporate culture after mergers and acquisitions, improper selection of regions leading to rising logistics costs and other problems, which eventually led to scale and efficiency are not proportional, but rather the phenomenon of diminishing returns on scale, so the scale efficiency from 2015 to 2018 continued to decline, respectively -1.82%, -0.17%, -4.83%. </w:t>
      </w:r>
    </w:p>
    <w:p w14:paraId="52A296D1">
      <w:pPr>
        <w:pStyle w:val="35"/>
        <w:spacing w:line="360" w:lineRule="auto"/>
        <w:ind w:left="0"/>
        <w:rPr>
          <w:rFonts w:ascii="Times New Roman" w:hAnsi="Times New Roman"/>
          <w:color w:val="auto"/>
        </w:rPr>
      </w:pPr>
      <w:r>
        <w:rPr>
          <w:rFonts w:ascii="Times New Roman" w:hAnsi="Times New Roman"/>
          <w:color w:val="auto"/>
        </w:rPr>
        <w:t xml:space="preserve">(3) During 2015-2018, the SEC index is less than 1, which means that the contribution of economic benefits gained by retail firms through expansion to productivity has continued to decline. On the other hand, the TC index is greater than 1 in these years, reflecting that the intensity of technological investment has positively contributed to the overall productivity of the retail sector. For example, it is the application of new technologies such as big data, cloud computing, artificial intelligence, virtual reality, unmanned warehouses, drones, 3D printing, etc., which promote the service upgrade of retail companies and improve the productivity of the retail industry. </w:t>
      </w:r>
    </w:p>
    <w:p w14:paraId="4280B920">
      <w:pPr>
        <w:pStyle w:val="35"/>
        <w:spacing w:line="360" w:lineRule="auto"/>
        <w:ind w:left="0"/>
        <w:rPr>
          <w:rFonts w:ascii="Times New Roman" w:hAnsi="Times New Roman"/>
          <w:color w:val="auto"/>
        </w:rPr>
      </w:pPr>
      <w:r>
        <w:rPr>
          <w:rFonts w:ascii="Times New Roman" w:hAnsi="Times New Roman"/>
          <w:color w:val="auto"/>
        </w:rPr>
        <w:t xml:space="preserve">(4) During 2019-2020, the TFP of the sample listed retail companies decreases considerably, and the MI value for 2020 in Table 4-4 is only 0.8024, implying that the overall TFP of the sample retail companies decreases by 19.76%. Starting from the end of 2019, the retail industry in China is facing significant operational, financial, and strategic challenges due to the COVID-19 outbreak. The overall supply chain of retail companies is disrupted, consumer and investment demand shrinks. In 2024-2025, TFP, although not rebounding, declines at a significantly slower rate (MI=0,9306), indicating that retail companies' aggressive and rapid response to the international downturn in the consumer environment has yielded significant results. </w:t>
      </w:r>
    </w:p>
    <w:p w14:paraId="5F4ADB5D">
      <w:pPr>
        <w:pStyle w:val="35"/>
        <w:spacing w:line="360" w:lineRule="auto"/>
        <w:ind w:left="0"/>
        <w:rPr>
          <w:rFonts w:ascii="Times New Roman" w:hAnsi="Times New Roman"/>
          <w:color w:val="auto"/>
        </w:rPr>
      </w:pPr>
      <w:r>
        <w:rPr>
          <w:rFonts w:ascii="Times New Roman" w:hAnsi="Times New Roman"/>
          <w:color w:val="auto"/>
        </w:rPr>
        <w:t>(5) The geometric mean of the TC index for the period 2007-2025 is 1.0096, which indicates that the introduction of technology in the retail industry has had a positive traction effect on productivity improvement, for example, the application of information technology such as RFID technology, distribution center automation technology, satellite positioning system (GPS), POS technology, and EDI has increased the efficiency of retail companies. However, the overall pure technical efficiency index is less than 1. Observing the calculation results of each year, the pure technical efficiency index is less than 1 in 10 out of 14 years, which indicates that the overall application of technology in the retail industry is not enough, for example, the degree of informatization of companies, the degree of data resources development and utilization, and the degree of supply chain information sharing in China are still far from enough, which indicates that there is still much room for improving the application of technology for the sample retail companies, and improving technical efficiency will be the focus of the future development.</w:t>
      </w:r>
    </w:p>
    <w:p w14:paraId="5153DD41">
      <w:pPr>
        <w:pStyle w:val="35"/>
        <w:spacing w:line="360" w:lineRule="auto"/>
        <w:ind w:left="0"/>
        <w:rPr>
          <w:rFonts w:ascii="Times New Roman" w:hAnsi="Times New Roman"/>
          <w:color w:val="auto"/>
        </w:rPr>
      </w:pPr>
      <w:r>
        <w:rPr>
          <w:rFonts w:ascii="Times New Roman" w:hAnsi="Times New Roman"/>
          <w:color w:val="auto"/>
        </w:rPr>
        <w:t xml:space="preserve">These are the characteristics of the productivity changes reflected in MI, as seen in the CM index (1.0954), which shows that the overall productivity of the sample retail companies improved by 9.54%, but looking at the CM index for each year reveals that the cost efficiency of the sample companies improved year by year from 2007 to 2009, while a significant regression occurred only in the last two years. The decomposition of the CM index shows that allocative efficiency improves (6.51%) and the price factor facilitates the movement of the cost boundary (PE=1.0085), which differs from the one-stage results in that the adjusted allocative efficiency change index decreases while the price impact index increases. The AEC is still significantly larger than the PE, indicating that most listed retail companies are able to buffer a portion of the efficient allocation of factors through the negative impact of price volatility of input factors. The CM index indicates slightly higher productivity growth than the IM index, because it accounts for allocative efficiency progress, not captured by the latter. The CM index indicates slightly higher productivity growth than the IM index, because it accounts for allocative efficiency progress, not captured by the latter. The introduction of the CM index allows this information to be tapped for the benefit of industry policy makers and business managers, as allocative efficiency and price effects are not captured by the MI. The adjusted CM index shows a strong correlation with MI (see </w:t>
      </w:r>
      <w:r>
        <w:rPr>
          <w:rFonts w:ascii="Times New Roman" w:hAnsi="Times New Roman"/>
          <w:color w:val="auto"/>
        </w:rPr>
        <w:fldChar w:fldCharType="begin"/>
      </w:r>
      <w:r>
        <w:rPr>
          <w:rFonts w:ascii="Times New Roman" w:hAnsi="Times New Roman"/>
          <w:color w:val="auto"/>
        </w:rPr>
        <w:instrText xml:space="preserve"> REF _Ref100068547 \h  \* MERGEFORMAT </w:instrText>
      </w:r>
      <w:r>
        <w:rPr>
          <w:rFonts w:ascii="Times New Roman" w:hAnsi="Times New Roman"/>
          <w:color w:val="auto"/>
        </w:rPr>
        <w:fldChar w:fldCharType="separate"/>
      </w:r>
      <w:r>
        <w:rPr>
          <w:rFonts w:ascii="Times New Roman" w:hAnsi="Times New Roman"/>
          <w:color w:val="auto"/>
        </w:rPr>
        <w:t>Figure 3. CM index and MI of overall sample retail companies</w:t>
      </w:r>
      <w:r>
        <w:rPr>
          <w:rFonts w:ascii="Times New Roman" w:hAnsi="Times New Roman"/>
          <w:color w:val="auto"/>
        </w:rPr>
        <w:fldChar w:fldCharType="end"/>
      </w:r>
      <w:r>
        <w:rPr>
          <w:rFonts w:ascii="Times New Roman" w:hAnsi="Times New Roman"/>
          <w:color w:val="auto"/>
        </w:rPr>
        <w:t>), again validating the need to remove environmental factors and statistical noise. Changes in allocation efficiency and price effects are characterized by the following phases in time trends.</w:t>
      </w:r>
    </w:p>
    <w:p w14:paraId="18A8400E">
      <w:pPr>
        <w:pStyle w:val="35"/>
        <w:spacing w:line="360" w:lineRule="auto"/>
        <w:ind w:left="0"/>
        <w:rPr>
          <w:rFonts w:ascii="Times New Roman" w:hAnsi="Times New Roman"/>
          <w:color w:val="auto"/>
        </w:rPr>
      </w:pPr>
      <w:r>
        <w:rPr>
          <w:rFonts w:ascii="Times New Roman" w:hAnsi="Times New Roman"/>
          <w:color w:val="auto"/>
        </w:rPr>
        <w:drawing>
          <wp:anchor distT="0" distB="0" distL="114300" distR="114300" simplePos="0" relativeHeight="251661312" behindDoc="0" locked="0" layoutInCell="1" allowOverlap="1">
            <wp:simplePos x="0" y="0"/>
            <wp:positionH relativeFrom="column">
              <wp:posOffset>0</wp:posOffset>
            </wp:positionH>
            <wp:positionV relativeFrom="paragraph">
              <wp:posOffset>139700</wp:posOffset>
            </wp:positionV>
            <wp:extent cx="6629400" cy="1962150"/>
            <wp:effectExtent l="0" t="0" r="0" b="0"/>
            <wp:wrapTopAndBottom/>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anchor>
        </w:drawing>
      </w:r>
    </w:p>
    <w:p w14:paraId="40C9C062">
      <w:pPr>
        <w:pStyle w:val="35"/>
        <w:spacing w:line="360" w:lineRule="auto"/>
        <w:ind w:left="0"/>
        <w:jc w:val="center"/>
        <w:rPr>
          <w:rFonts w:ascii="Times New Roman" w:hAnsi="Times New Roman"/>
          <w:color w:val="auto"/>
        </w:rPr>
      </w:pPr>
      <w:r>
        <w:rPr>
          <w:rFonts w:ascii="Times New Roman" w:hAnsi="Times New Roman"/>
          <w:color w:val="auto"/>
        </w:rPr>
        <w:fldChar w:fldCharType="begin"/>
      </w:r>
      <w:r>
        <w:rPr>
          <w:rFonts w:ascii="Times New Roman" w:hAnsi="Times New Roman"/>
          <w:color w:val="auto"/>
        </w:rPr>
        <w:instrText xml:space="preserve"> REF _Ref100068547 \h  \* MERGEFORMAT </w:instrText>
      </w:r>
      <w:r>
        <w:rPr>
          <w:rFonts w:ascii="Times New Roman" w:hAnsi="Times New Roman"/>
          <w:color w:val="auto"/>
        </w:rPr>
        <w:fldChar w:fldCharType="separate"/>
      </w:r>
      <w:r>
        <w:rPr>
          <w:rFonts w:ascii="Times New Roman" w:hAnsi="Times New Roman"/>
          <w:color w:val="auto"/>
        </w:rPr>
        <w:t>Figure 3. CM index and MI of overall sample retail companies</w:t>
      </w:r>
      <w:r>
        <w:rPr>
          <w:rFonts w:ascii="Times New Roman" w:hAnsi="Times New Roman"/>
          <w:color w:val="auto"/>
        </w:rPr>
        <w:fldChar w:fldCharType="end"/>
      </w:r>
    </w:p>
    <w:p w14:paraId="5AA8DEAF">
      <w:pPr>
        <w:pStyle w:val="35"/>
        <w:spacing w:line="360" w:lineRule="auto"/>
        <w:ind w:left="0"/>
        <w:rPr>
          <w:rFonts w:ascii="Times New Roman" w:hAnsi="Times New Roman"/>
          <w:color w:val="auto"/>
        </w:rPr>
      </w:pPr>
      <w:r>
        <w:rPr>
          <w:rFonts w:ascii="Times New Roman" w:hAnsi="Times New Roman"/>
          <w:color w:val="auto"/>
        </w:rPr>
        <w:t>(1) The allocation efficiency of the sample retail companies showed a significant decrease in 2015 (AEC=0.9304), which was mainly caused by the massive expansion in 2014, resulting in the need to reallocate input resources in 2015, and the previous ratios of human and goods input factors no longer fit, and the new allocation scheme apparently did not contribute to productivity improvement. However, the economies of scale in 2014 also seem to have had a positive price impact (PE=1.155). In 2017, there was also a reduction in allocation efficiency, which was different from the reason for the reduction in 2014. Technology introduction in 2016 disrupted the allocation efficiency (AEC = 0.9668), for example, 2016 was the first year of live streaming in China, and live streaming was embedded as a function in retail, and although the allocation efficiency was reduced, the improvement in technological progress brought by live streaming continued into 2018. The same happens in 2019, when the introduction of technology in retail reshuffles the configuration options.</w:t>
      </w:r>
    </w:p>
    <w:p w14:paraId="0F0E724C">
      <w:pPr>
        <w:pStyle w:val="35"/>
        <w:spacing w:line="360" w:lineRule="auto"/>
        <w:ind w:left="0"/>
        <w:rPr>
          <w:rFonts w:ascii="Times New Roman" w:hAnsi="Times New Roman"/>
          <w:color w:val="auto"/>
        </w:rPr>
      </w:pPr>
      <w:r>
        <w:rPr>
          <w:rFonts w:ascii="Times New Roman" w:hAnsi="Times New Roman"/>
          <w:color w:val="auto"/>
        </w:rPr>
        <w:t>(2) The PE component in 2008, 2011, and 2020 both showed significant declines, which suggests that the effect of relative input price changes was detrimental to productivity. All three years were relatively recessionary years for the international economy, with the financial crisis in 2008 and 2011 and the impact of the epidemic in 2020. The impact of this global economic environment on retail companies was manifested in a decline in PE, but differed in other ways. In 2008, China's retail industry was not fully liberalized and was not very much affected by the international environment, only in terms of technological regress (TC=0.9644), price effects (PE=0.9594), and TFP did not decline (MI=1.0086, CM=1.1135). Whereas the negative impact of prices on the sample companies was significant under the impact of the financial crisis in 2011 (PE=0.8057), the overall allocative efficiency of the sample retail companies buffered the impact of prices (AEC=1.4027), so there was no decline in overall productivity (MI=1.090909, CM=1.2478). The sudden outbreak of COVID 19 in 2019 dealt a huge blow to the Chinese retail industry, including a regress in technical efficiency (0.8231), a regress in technology (0.9983), a regress in scale efficiency (0.8687), and a regress in pure technical efficiency (0.9459), and even though allocative efficiency was improved (1.1929), there was no way to compensate for the regression in other areas, so the overall productivity of sample retail companies is also significantly lower (MI=0.8024, CM=0.7386). The productivity index and its decomposition in 2021 show that the overall productivity decline of the sample retail companies has slowed down (MI=0.9306, CM=0,9746), thanks to the support of national policies and the efforts of the companies themselves, as evidenced by the increase in pure technical efficiency, scale efficiency and allocative efficiency (PTEC=1.0114, SEC=1.0062, AEC=1.748).</w:t>
      </w:r>
    </w:p>
    <w:p w14:paraId="22F496BB">
      <w:pPr>
        <w:pStyle w:val="35"/>
        <w:spacing w:line="360" w:lineRule="auto"/>
        <w:ind w:left="0"/>
        <w:rPr>
          <w:rFonts w:ascii="Times New Roman" w:hAnsi="Times New Roman"/>
          <w:color w:val="auto"/>
          <w:lang w:eastAsia="zh-CN"/>
        </w:rPr>
      </w:pPr>
      <w:r>
        <w:rPr>
          <w:rFonts w:ascii="Times New Roman" w:hAnsi="Times New Roman"/>
          <w:color w:val="auto"/>
          <w:lang w:eastAsia="zh-CN"/>
        </w:rPr>
        <w:t>The above is the evaluation of TFP of the retail companies from the perspective of the entire research sample, and each decomposition factor explains the reasons for the changes in TFP, in addition, this study evaluates the efficiency of retail operations at the company level, and the results are following:</w:t>
      </w:r>
    </w:p>
    <w:p w14:paraId="03131C03">
      <w:pPr>
        <w:pStyle w:val="35"/>
        <w:spacing w:line="360" w:lineRule="auto"/>
        <w:ind w:left="0"/>
        <w:rPr>
          <w:rFonts w:ascii="Times New Roman" w:hAnsi="Times New Roman"/>
          <w:color w:val="auto"/>
          <w:lang w:eastAsia="zh-CN"/>
        </w:rPr>
      </w:pPr>
      <w:r>
        <w:rPr>
          <w:rFonts w:ascii="Times New Roman" w:hAnsi="Times New Roman"/>
          <w:color w:val="auto"/>
          <w:lang w:eastAsia="zh-CN"/>
        </w:rPr>
        <w:t>Comparing the MI results of stage one and stage three, it can be found that 23 companies have a lower average productivity index, which means that these 23 listed retail companies are more influenced by environmental factors and random errors. In the stage one efficiency assessment, efficiency results were overestimated, while the remaining companies' efficiency was underestimated. The variation in these results once again demonstrates the need to remove the effects of environmental factors and random errors. Among the top five companies in the first stage results, only DMU33 is still in the top five, indicating that the company is less affected by environmental variables, while the five companies with the lowest productivity, DMU46, and DMU48 are still in the last five companies.</w:t>
      </w:r>
    </w:p>
    <w:p w14:paraId="0F26489A">
      <w:pPr>
        <w:pStyle w:val="35"/>
        <w:spacing w:line="360" w:lineRule="auto"/>
        <w:ind w:left="0"/>
        <w:rPr>
          <w:rFonts w:ascii="Times New Roman" w:hAnsi="Times New Roman"/>
          <w:color w:val="auto"/>
          <w:lang w:eastAsia="zh-CN"/>
        </w:rPr>
      </w:pPr>
      <w:r>
        <w:rPr>
          <w:rFonts w:ascii="Times New Roman" w:hAnsi="Times New Roman"/>
          <w:color w:val="auto"/>
          <w:lang w:eastAsia="zh-CN"/>
        </w:rPr>
        <w:t xml:space="preserve">After excluding the effects of environmental factors and random errors, </w:t>
      </w:r>
      <w:r>
        <w:rPr>
          <w:rFonts w:ascii="Times New Roman" w:hAnsi="Times New Roman"/>
          <w:color w:val="FF0000"/>
          <w:lang w:eastAsia="zh-CN"/>
        </w:rPr>
        <w:t>Table 4 5</w:t>
      </w:r>
      <w:r>
        <w:rPr>
          <w:rFonts w:ascii="Times New Roman" w:hAnsi="Times New Roman"/>
          <w:color w:val="auto"/>
          <w:lang w:eastAsia="zh-CN"/>
        </w:rPr>
        <w:t xml:space="preserve"> shows that 23 companies in the sample have an average TFP growth rate greater than 1, accounting for 45%, a ratio that is higher than before the adjustment, indicating that the overall TFP of the sample retail companies is underestimated without considering environmental factors and random errors. According to the TC index, 29 listed retail companies have a technological progress index greater than 1. In the results before the adjustment, only 9 companies had a TC greater than 1, indicating that the TC was also previously underestimated. In terms of the change in pure technical efficiency, only 19 listed retail companies have a pure technical efficiency change index greater than 1, accounting for 37%, which is comparable to the result before adjustment, indicating that the improvement of pure technical efficiency will become the direction of future efforts of the sample retail companies. From the perspective of scale efficiency, 32 listed retail companies have a change in scale efficiency greater than one, indicating that most of the listed retail companies have an upward trend in scale efficiency, which is contrary to the previous results.</w:t>
      </w:r>
    </w:p>
    <w:p w14:paraId="4ABC078D">
      <w:pPr>
        <w:pStyle w:val="35"/>
        <w:spacing w:line="360" w:lineRule="auto"/>
        <w:ind w:left="0"/>
        <w:rPr>
          <w:rFonts w:ascii="Times New Roman" w:hAnsi="Times New Roman"/>
          <w:color w:val="auto"/>
          <w:lang w:eastAsia="zh-CN"/>
        </w:rPr>
      </w:pPr>
      <w:r>
        <w:rPr>
          <w:rFonts w:ascii="Times New Roman" w:hAnsi="Times New Roman"/>
          <w:color w:val="auto"/>
          <w:lang w:eastAsia="zh-CN"/>
        </w:rPr>
        <w:t xml:space="preserve">The changes in TFP among retail companies varies considerably from company to company. Some companies have multiple sources of growth, while others have a single source of growth. After adjustment, the top five companies in terms of average TFP include, Jianmin Pharmaceutical Group Co., Ltd. (DMU33), Shenzhen Neptunus Bioengineering Co., Ltd. (DMU2), Zhongbai Holdings Group Co., Ltd. (DMU11), Gohigh Data Networks Technology Co., Ltd. (DMU12), while these companies are more productive, each has different sources of growth. For Wuhan Department Store Group Co., Ltd. (DMU5), the sources of growth are multifaceted, TEC, TC, PTEC and SEC all above 1. Shenzhen Neptunus Bioengineering Co., Ltd. (DMU2) relies heavily on TEC and SEC for its TFP growth. Gohigh Data Networks Technology Co., Ltd. (DMU12) is in the same situation. For Zhongbai Holdings Group Co., Ltd. (DMU11), source of TFP growth is TE (1.0844) on one hand and SEC (1.0028) on the other. Jianmin Pharmaceutical Group Co., Ltd. (DMU33) has a relatively homogeneous source of TFP growth, relying mainly on technological progress (1.0581). </w:t>
      </w:r>
    </w:p>
    <w:p w14:paraId="2A7A8145">
      <w:pPr>
        <w:pStyle w:val="35"/>
        <w:spacing w:line="360" w:lineRule="auto"/>
        <w:ind w:left="0"/>
        <w:rPr>
          <w:rFonts w:ascii="Times New Roman" w:hAnsi="Times New Roman"/>
          <w:color w:val="auto"/>
          <w:lang w:eastAsia="zh-CN"/>
        </w:rPr>
      </w:pPr>
      <w:r>
        <w:rPr>
          <w:rFonts w:ascii="Times New Roman" w:hAnsi="Times New Roman"/>
          <w:color w:val="auto"/>
          <w:lang w:eastAsia="zh-CN"/>
        </w:rPr>
        <w:t>The last five companies in terms of average TFP include (See Figure 4 4, the light red bars corresponding to the last five DMUs) Jiangsu Hongtu High Technology Co., Ltd. (DMU16), Inzone Group Co., Ltd. (DMU48), Shanghai New World Co., Ltd. (DMU46), Shanghai Yimin Commercial Group Co., Ltd. (DMU47), Yinchuan Xinhua Commercial (group) Co., Ltd. (DMU45). For Jiangsu Hongtu High Technology Co., Ltd. (DMU16) and Yinchuan Xinhua Commercial (group) Co., Ltd. (DMU45) productivity decline is multifaceted, with indices of TC, PTEC, and SEC all below 1. Inzone Group Co., Ltd. (DMU48), Shanghai New World Co., Ltd. (DMU46), TC index of Shanghai Yimin Commercial Group Co., Ltd. (DMU47) is greater than 1, but still not enough to make up for the PTEC's regression with the SEC.</w:t>
      </w:r>
    </w:p>
    <w:p w14:paraId="074E7F5B">
      <w:pPr>
        <w:pStyle w:val="35"/>
        <w:spacing w:line="360" w:lineRule="auto"/>
        <w:ind w:left="0"/>
        <w:rPr>
          <w:rFonts w:ascii="Times New Roman" w:hAnsi="Times New Roman"/>
          <w:color w:val="auto"/>
          <w:lang w:eastAsia="zh-CN"/>
        </w:rPr>
      </w:pPr>
      <w:r>
        <w:rPr>
          <w:rFonts w:ascii="Times New Roman" w:hAnsi="Times New Roman"/>
          <w:color w:val="auto"/>
          <w:lang w:eastAsia="zh-CN"/>
        </w:rPr>
        <w:t>According to the CM index of each retail company there are 30 listed retail companies with CM index greater than 1, accounting for 59%. Specifically, 35 listed retail companies have an AEC index greater than 1, accounting for 68%, a decrease from before the adjustment, and this group of retail companies has performed well in resource allocation management. Companies with an AEC below 1 need to re-engineer resource management systems to optimize staffing, merchandise and space. The results show that 22 companies have PE index values greater than 1, which is a significant increase in the ratio compared to the pre-adjustment period, which justifies the selection of Retail Price Classification Index as an environmental variable. The source of positive price effects may be a more stable supply chain or a gradual increase in bargaining power.</w:t>
      </w:r>
    </w:p>
    <w:p w14:paraId="40A80DE2">
      <w:pPr>
        <w:pStyle w:val="35"/>
        <w:spacing w:line="360" w:lineRule="auto"/>
        <w:ind w:left="0"/>
        <w:rPr>
          <w:rFonts w:ascii="Times New Roman" w:hAnsi="Times New Roman"/>
          <w:color w:val="auto"/>
          <w:lang w:eastAsia="zh-CN"/>
        </w:rPr>
      </w:pPr>
      <w:r>
        <w:rPr>
          <w:rFonts w:ascii="Times New Roman" w:hAnsi="Times New Roman"/>
          <w:color w:val="auto"/>
          <w:lang w:eastAsia="zh-CN"/>
        </w:rPr>
        <w:t>It is more important, however, to look at company level. The two indices can show same or opposite trends in productivity at unit level.</w:t>
      </w:r>
    </w:p>
    <w:p w14:paraId="47A2F146">
      <w:pPr>
        <w:pStyle w:val="35"/>
        <w:spacing w:line="360" w:lineRule="auto"/>
        <w:ind w:left="0"/>
        <w:rPr>
          <w:rFonts w:ascii="Times New Roman" w:hAnsi="Times New Roman"/>
          <w:color w:val="auto"/>
          <w:lang w:eastAsia="zh-CN"/>
        </w:rPr>
      </w:pPr>
      <w:r>
        <w:rPr>
          <w:rFonts w:ascii="Times New Roman" w:hAnsi="Times New Roman"/>
          <w:color w:val="auto"/>
          <w:lang w:eastAsia="zh-CN"/>
        </w:rPr>
        <w:t xml:space="preserve">(1) quadrant shows productivity growth by the MI but also by the CM index. Companies in this quadrant have demonstrated efficiency improvements in TEC, TC, AEC, and PE, and these companies are more likely to achieve sustainable growth. </w:t>
      </w:r>
    </w:p>
    <w:p w14:paraId="510ED67B">
      <w:pPr>
        <w:pStyle w:val="35"/>
        <w:spacing w:line="360" w:lineRule="auto"/>
        <w:ind w:left="0"/>
        <w:rPr>
          <w:rFonts w:ascii="Times New Roman" w:hAnsi="Times New Roman"/>
          <w:color w:val="auto"/>
          <w:lang w:eastAsia="zh-CN"/>
        </w:rPr>
      </w:pPr>
      <w:r>
        <w:rPr>
          <w:rFonts w:ascii="Times New Roman" w:hAnsi="Times New Roman"/>
          <w:color w:val="auto"/>
          <w:lang w:eastAsia="zh-CN"/>
        </w:rPr>
        <w:t>(2) quadrant shows productivity growth by the MI but productivity regress by the CM index. For example, Suning.com Co., Ltd. (DMU14) improves its technical efficiency between 2007 and 2025 (TEC=1.0629). The technical change component (TC=0.9746) indicates that on average there was hardly any shift of the efficient production boundary at its output mixes and thus the MI indicates productivity growth (IM=1.0272). However, when input prices are taken into consideration the CM index indicates productivity regress (CM=0.9883). This is because of a large regress in the cost frontier attributed to the change in relative input prices (PE=0.7911), not fully compensated for by the improvement in the allocative efficiency (AEC=1.2125).</w:t>
      </w:r>
    </w:p>
    <w:p w14:paraId="41471489">
      <w:pPr>
        <w:pStyle w:val="35"/>
        <w:spacing w:line="360" w:lineRule="auto"/>
        <w:ind w:left="0"/>
        <w:rPr>
          <w:rFonts w:ascii="Times New Roman" w:hAnsi="Times New Roman"/>
          <w:color w:val="auto"/>
          <w:lang w:eastAsia="zh-CN"/>
        </w:rPr>
      </w:pPr>
      <w:r>
        <w:rPr>
          <w:rFonts w:ascii="Times New Roman" w:hAnsi="Times New Roman"/>
          <w:color w:val="auto"/>
          <w:lang w:eastAsia="zh-CN"/>
        </w:rPr>
        <w:t>(3) quadrant shows productivity regress in both MI and CM indices, Companies in this quadrant may be inefficient in many ways. For example, Jiangsu Hongtu High Technology Co., Ltd. (DMU16), Except for a large improvement in allocation efficiency, it shows a regression in all other areas (PE=0.7466, TC=0.9811, PTEC=0.9935, SEC=0.9623).</w:t>
      </w:r>
    </w:p>
    <w:p w14:paraId="5EEB9C2B">
      <w:pPr>
        <w:pStyle w:val="35"/>
        <w:spacing w:line="360" w:lineRule="auto"/>
        <w:ind w:left="0"/>
        <w:rPr>
          <w:rFonts w:ascii="Times New Roman" w:hAnsi="Times New Roman"/>
          <w:color w:val="auto"/>
          <w:lang w:eastAsia="zh-CN"/>
        </w:rPr>
      </w:pPr>
      <w:r>
        <w:rPr>
          <w:rFonts w:ascii="Times New Roman" w:hAnsi="Times New Roman"/>
          <w:color w:val="auto"/>
          <w:lang w:eastAsia="zh-CN"/>
        </w:rPr>
        <w:t>(4) quadrant shows that these companies regressed according to the MI but progressed according to the CM index. For example, Zhongxing Shenyang Commercial Building Group Co., Ltd. (DMU8) has regressed according to the IM index (IM=1.0111) but progressed according to the CM index (0.9052) which captures a large increase in its allocative efficiency (AEC=1.1106). Companies in this quadrant cannot be satisfied with efficiency gains in certain areas and ignore their shortcomings.</w:t>
      </w:r>
    </w:p>
    <w:p w14:paraId="0419C848">
      <w:pPr>
        <w:pStyle w:val="51"/>
        <w:spacing w:before="240" w:line="360" w:lineRule="auto"/>
        <w:ind w:left="0"/>
        <w:rPr>
          <w:rFonts w:ascii="Times New Roman" w:hAnsi="Times New Roman"/>
          <w:color w:val="auto"/>
        </w:rPr>
      </w:pPr>
      <w:r>
        <w:rPr>
          <w:rFonts w:ascii="Times New Roman" w:hAnsi="Times New Roman"/>
          <w:color w:val="auto"/>
        </w:rPr>
        <w:t>4.3. prediction on total factor productivity</w:t>
      </w:r>
    </w:p>
    <w:p w14:paraId="712C27B5">
      <w:pPr>
        <w:pStyle w:val="51"/>
        <w:spacing w:before="240" w:line="360" w:lineRule="auto"/>
        <w:ind w:left="0"/>
        <w:rPr>
          <w:rFonts w:ascii="Times New Roman" w:hAnsi="Times New Roman"/>
          <w:color w:val="auto"/>
        </w:rPr>
      </w:pPr>
      <w:r>
        <w:rPr>
          <w:rFonts w:ascii="Times New Roman" w:hAnsi="Times New Roman"/>
          <w:color w:val="auto"/>
        </w:rPr>
        <w:t>4.3.1. Forecasting evaluation based on traditional evaluation criteria</w:t>
      </w:r>
    </w:p>
    <w:p w14:paraId="03259ECB">
      <w:pPr>
        <w:pStyle w:val="35"/>
        <w:spacing w:line="360" w:lineRule="auto"/>
        <w:ind w:left="0"/>
        <w:rPr>
          <w:rFonts w:ascii="Times New Roman" w:hAnsi="Times New Roman"/>
          <w:color w:val="auto"/>
        </w:rPr>
      </w:pPr>
      <w:r>
        <w:rPr>
          <w:rFonts w:ascii="Times New Roman" w:hAnsi="Times New Roman"/>
          <w:color w:val="auto"/>
        </w:rPr>
        <w:t>Although BP neural networks are slower to learn than RBF neural networks, BP networks can solve the mapping of the nonlinear relationship between input and output. During the network design process, the BP algorithm is subjected to iterative trials and training, because there is no guarantee of function convergence and global optimality at each training. Another difficulty of the BP algorithm is the selection of the mechanism of action of each neuron and the number of neurons in the network structure. RBF neural network is a forward network based on the theory of function approximation, which is a local approximation network.</w:t>
      </w:r>
      <w:r>
        <w:rPr>
          <w:rFonts w:ascii="Times New Roman" w:hAnsi="Times New Roman"/>
          <w:color w:val="auto"/>
        </w:rPr>
        <w:tab/>
      </w:r>
    </w:p>
    <w:p w14:paraId="5022D7E4">
      <w:pPr>
        <w:pStyle w:val="35"/>
        <w:spacing w:line="360" w:lineRule="auto"/>
        <w:ind w:left="0"/>
        <w:rPr>
          <w:rFonts w:ascii="Times New Roman" w:hAnsi="Times New Roman"/>
          <w:color w:val="auto"/>
        </w:rPr>
      </w:pPr>
      <w:r>
        <w:rPr>
          <w:rFonts w:ascii="Times New Roman" w:hAnsi="Times New Roman"/>
          <w:color w:val="auto"/>
        </w:rPr>
        <w:t>This section may be divided by subheadings. It should provide a concise and precise description of the experimental results, their interpretation, as well as the experimental conclusions that can be drawn.</w:t>
      </w:r>
    </w:p>
    <w:p w14:paraId="1ABC0F2C">
      <w:pPr>
        <w:pStyle w:val="97"/>
        <w:spacing w:line="360" w:lineRule="auto"/>
        <w:jc w:val="center"/>
        <w:rPr>
          <w:rFonts w:cs="Times New Roman"/>
        </w:rPr>
      </w:pPr>
      <w:bookmarkStart w:id="9" w:name="_Ref98872750"/>
      <w:bookmarkStart w:id="10" w:name="_Toc103106466"/>
      <w:bookmarkStart w:id="11" w:name="_Toc102569293"/>
      <w:bookmarkStart w:id="12" w:name="_Ref98872742"/>
      <w:r>
        <w:rPr>
          <w:rFonts w:cs="Times New Roman"/>
        </w:rPr>
        <w:t>Table</w:t>
      </w:r>
      <w:bookmarkEnd w:id="9"/>
      <w:r>
        <w:rPr>
          <w:rFonts w:cs="Times New Roman"/>
        </w:rPr>
        <w:t xml:space="preserve"> 3. Comparison of RBF &amp; BP neural network</w:t>
      </w:r>
      <w:bookmarkEnd w:id="10"/>
      <w:bookmarkEnd w:id="11"/>
      <w:bookmarkEnd w:id="12"/>
    </w:p>
    <w:tbl>
      <w:tblPr>
        <w:tblStyle w:val="14"/>
        <w:tblW w:w="0" w:type="auto"/>
        <w:tblInd w:w="0" w:type="dxa"/>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17"/>
        <w:gridCol w:w="1583"/>
        <w:gridCol w:w="1386"/>
        <w:gridCol w:w="1385"/>
        <w:gridCol w:w="1385"/>
        <w:gridCol w:w="1376"/>
      </w:tblGrid>
      <w:tr w14:paraId="5D37F08D">
        <w:tblPrEx>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317" w:type="dxa"/>
            <w:tcBorders>
              <w:top w:val="thinThickSmallGap" w:color="auto" w:sz="12" w:space="0"/>
              <w:bottom w:val="single" w:color="auto" w:sz="4" w:space="0"/>
            </w:tcBorders>
            <w:vAlign w:val="center"/>
          </w:tcPr>
          <w:p w14:paraId="477BA4D7">
            <w:pPr>
              <w:pStyle w:val="93"/>
              <w:spacing w:line="360" w:lineRule="auto"/>
              <w:jc w:val="center"/>
              <w:rPr>
                <w:rFonts w:cs="Times New Roman"/>
                <w:sz w:val="20"/>
                <w:szCs w:val="20"/>
              </w:rPr>
            </w:pPr>
            <w:r>
              <w:rPr>
                <w:rFonts w:cs="Times New Roman"/>
                <w:sz w:val="20"/>
                <w:szCs w:val="20"/>
              </w:rPr>
              <w:t>Model</w:t>
            </w:r>
          </w:p>
        </w:tc>
        <w:tc>
          <w:tcPr>
            <w:tcW w:w="1583" w:type="dxa"/>
            <w:tcBorders>
              <w:top w:val="thinThickSmallGap" w:color="auto" w:sz="12" w:space="0"/>
              <w:bottom w:val="single" w:color="auto" w:sz="4" w:space="0"/>
            </w:tcBorders>
            <w:vAlign w:val="center"/>
          </w:tcPr>
          <w:p w14:paraId="6D6FAB1D">
            <w:pPr>
              <w:pStyle w:val="93"/>
              <w:spacing w:line="360" w:lineRule="auto"/>
              <w:jc w:val="center"/>
              <w:rPr>
                <w:rFonts w:cs="Times New Roman"/>
                <w:sz w:val="20"/>
                <w:szCs w:val="20"/>
              </w:rPr>
            </w:pPr>
            <w:r>
              <w:rPr>
                <w:rFonts w:cs="Times New Roman"/>
                <w:sz w:val="20"/>
                <w:szCs w:val="20"/>
              </w:rPr>
              <w:t>Contents</w:t>
            </w:r>
          </w:p>
        </w:tc>
        <w:tc>
          <w:tcPr>
            <w:tcW w:w="1386" w:type="dxa"/>
            <w:tcBorders>
              <w:top w:val="thinThickSmallGap" w:color="auto" w:sz="12" w:space="0"/>
              <w:bottom w:val="single" w:color="auto" w:sz="4" w:space="0"/>
            </w:tcBorders>
            <w:vAlign w:val="center"/>
          </w:tcPr>
          <w:p w14:paraId="70045DA9">
            <w:pPr>
              <w:pStyle w:val="93"/>
              <w:spacing w:line="360" w:lineRule="auto"/>
              <w:jc w:val="center"/>
              <w:rPr>
                <w:rFonts w:cs="Times New Roman"/>
                <w:sz w:val="20"/>
                <w:szCs w:val="20"/>
              </w:rPr>
            </w:pPr>
            <w:r>
              <w:rPr>
                <w:rFonts w:cs="Times New Roman"/>
                <w:sz w:val="20"/>
                <w:szCs w:val="20"/>
              </w:rPr>
              <w:t>RMSE</w:t>
            </w:r>
          </w:p>
        </w:tc>
        <w:tc>
          <w:tcPr>
            <w:tcW w:w="1385" w:type="dxa"/>
            <w:tcBorders>
              <w:top w:val="thinThickSmallGap" w:color="auto" w:sz="12" w:space="0"/>
              <w:bottom w:val="single" w:color="auto" w:sz="4" w:space="0"/>
            </w:tcBorders>
            <w:vAlign w:val="center"/>
          </w:tcPr>
          <w:p w14:paraId="728A0C69">
            <w:pPr>
              <w:pStyle w:val="93"/>
              <w:spacing w:line="360" w:lineRule="auto"/>
              <w:jc w:val="center"/>
              <w:rPr>
                <w:rFonts w:cs="Times New Roman"/>
                <w:sz w:val="20"/>
                <w:szCs w:val="20"/>
              </w:rPr>
            </w:pPr>
            <w:r>
              <w:rPr>
                <w:rFonts w:cs="Times New Roman"/>
                <w:sz w:val="20"/>
                <w:szCs w:val="20"/>
              </w:rPr>
              <w:t>MSE</w:t>
            </w:r>
          </w:p>
        </w:tc>
        <w:tc>
          <w:tcPr>
            <w:tcW w:w="1385" w:type="dxa"/>
            <w:tcBorders>
              <w:top w:val="thinThickSmallGap" w:color="auto" w:sz="12" w:space="0"/>
              <w:bottom w:val="single" w:color="auto" w:sz="4" w:space="0"/>
            </w:tcBorders>
            <w:vAlign w:val="center"/>
          </w:tcPr>
          <w:p w14:paraId="350B0744">
            <w:pPr>
              <w:pStyle w:val="93"/>
              <w:spacing w:line="360" w:lineRule="auto"/>
              <w:jc w:val="center"/>
              <w:rPr>
                <w:rFonts w:cs="Times New Roman"/>
                <w:sz w:val="20"/>
                <w:szCs w:val="20"/>
              </w:rPr>
            </w:pPr>
            <w:r>
              <w:rPr>
                <w:rFonts w:cs="Times New Roman"/>
                <w:sz w:val="20"/>
                <w:szCs w:val="20"/>
              </w:rPr>
              <w:t>MAE</w:t>
            </w:r>
          </w:p>
        </w:tc>
        <w:tc>
          <w:tcPr>
            <w:tcW w:w="1376" w:type="dxa"/>
            <w:tcBorders>
              <w:top w:val="thinThickSmallGap" w:color="auto" w:sz="12" w:space="0"/>
              <w:bottom w:val="single" w:color="auto" w:sz="4" w:space="0"/>
            </w:tcBorders>
            <w:vAlign w:val="center"/>
          </w:tcPr>
          <w:p w14:paraId="03227D92">
            <w:pPr>
              <w:pStyle w:val="93"/>
              <w:spacing w:line="360" w:lineRule="auto"/>
              <w:jc w:val="center"/>
              <w:rPr>
                <w:rFonts w:cs="Times New Roman"/>
                <w:sz w:val="20"/>
                <w:szCs w:val="20"/>
              </w:rPr>
            </w:pPr>
            <w:r>
              <w:rPr>
                <w:rFonts w:cs="Times New Roman"/>
                <w:sz w:val="20"/>
                <w:szCs w:val="20"/>
              </w:rPr>
              <w:t>R2</w:t>
            </w:r>
          </w:p>
        </w:tc>
      </w:tr>
      <w:tr w14:paraId="36DFD3A1">
        <w:tblPrEx>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317" w:type="dxa"/>
            <w:vMerge w:val="restart"/>
            <w:tcBorders>
              <w:top w:val="single" w:color="auto" w:sz="4" w:space="0"/>
            </w:tcBorders>
          </w:tcPr>
          <w:p w14:paraId="46143900">
            <w:pPr>
              <w:pStyle w:val="93"/>
              <w:spacing w:line="360" w:lineRule="auto"/>
              <w:rPr>
                <w:rFonts w:cs="Times New Roman"/>
                <w:sz w:val="20"/>
                <w:szCs w:val="20"/>
              </w:rPr>
            </w:pPr>
          </w:p>
          <w:p w14:paraId="10DB9570">
            <w:pPr>
              <w:pStyle w:val="93"/>
              <w:spacing w:line="360" w:lineRule="auto"/>
              <w:jc w:val="center"/>
              <w:rPr>
                <w:rFonts w:cs="Times New Roman"/>
                <w:sz w:val="20"/>
                <w:szCs w:val="20"/>
              </w:rPr>
            </w:pPr>
          </w:p>
          <w:p w14:paraId="53009465">
            <w:pPr>
              <w:pStyle w:val="93"/>
              <w:spacing w:line="360" w:lineRule="auto"/>
              <w:jc w:val="center"/>
              <w:rPr>
                <w:rFonts w:cs="Times New Roman"/>
                <w:sz w:val="20"/>
                <w:szCs w:val="20"/>
              </w:rPr>
            </w:pPr>
            <w:r>
              <w:rPr>
                <w:rFonts w:cs="Times New Roman"/>
                <w:sz w:val="20"/>
                <w:szCs w:val="20"/>
              </w:rPr>
              <w:t>RBF neural network</w:t>
            </w:r>
          </w:p>
          <w:p w14:paraId="5849D50F">
            <w:pPr>
              <w:pStyle w:val="93"/>
              <w:spacing w:line="360" w:lineRule="auto"/>
              <w:rPr>
                <w:rFonts w:cs="Times New Roman"/>
                <w:sz w:val="20"/>
                <w:szCs w:val="20"/>
              </w:rPr>
            </w:pPr>
          </w:p>
        </w:tc>
        <w:tc>
          <w:tcPr>
            <w:tcW w:w="1583" w:type="dxa"/>
            <w:tcBorders>
              <w:top w:val="single" w:color="auto" w:sz="4" w:space="0"/>
            </w:tcBorders>
          </w:tcPr>
          <w:p w14:paraId="237F8FA5">
            <w:pPr>
              <w:pStyle w:val="93"/>
              <w:spacing w:line="360" w:lineRule="auto"/>
              <w:rPr>
                <w:rFonts w:cs="Times New Roman"/>
                <w:sz w:val="20"/>
                <w:szCs w:val="20"/>
              </w:rPr>
            </w:pPr>
            <w:r>
              <w:rPr>
                <w:rFonts w:cs="Times New Roman"/>
                <w:sz w:val="20"/>
                <w:szCs w:val="20"/>
              </w:rPr>
              <w:t>Overall MI</w:t>
            </w:r>
          </w:p>
        </w:tc>
        <w:tc>
          <w:tcPr>
            <w:tcW w:w="1386" w:type="dxa"/>
            <w:tcBorders>
              <w:top w:val="single" w:color="auto" w:sz="4" w:space="0"/>
            </w:tcBorders>
            <w:vAlign w:val="center"/>
          </w:tcPr>
          <w:p w14:paraId="6FB675B2">
            <w:pPr>
              <w:pStyle w:val="93"/>
              <w:spacing w:line="360" w:lineRule="auto"/>
              <w:jc w:val="center"/>
              <w:rPr>
                <w:rFonts w:cs="Times New Roman"/>
                <w:sz w:val="20"/>
                <w:szCs w:val="20"/>
              </w:rPr>
            </w:pPr>
            <w:r>
              <w:rPr>
                <w:rFonts w:cs="Times New Roman"/>
                <w:sz w:val="20"/>
                <w:szCs w:val="20"/>
              </w:rPr>
              <w:t>0.0481</w:t>
            </w:r>
          </w:p>
        </w:tc>
        <w:tc>
          <w:tcPr>
            <w:tcW w:w="1385" w:type="dxa"/>
            <w:tcBorders>
              <w:top w:val="single" w:color="auto" w:sz="4" w:space="0"/>
            </w:tcBorders>
            <w:vAlign w:val="center"/>
          </w:tcPr>
          <w:p w14:paraId="45CE15D0">
            <w:pPr>
              <w:pStyle w:val="93"/>
              <w:spacing w:line="360" w:lineRule="auto"/>
              <w:jc w:val="center"/>
              <w:rPr>
                <w:rFonts w:cs="Times New Roman"/>
                <w:sz w:val="20"/>
                <w:szCs w:val="20"/>
              </w:rPr>
            </w:pPr>
            <w:r>
              <w:rPr>
                <w:rFonts w:cs="Times New Roman"/>
                <w:sz w:val="20"/>
                <w:szCs w:val="20"/>
              </w:rPr>
              <w:t>0.0023</w:t>
            </w:r>
          </w:p>
        </w:tc>
        <w:tc>
          <w:tcPr>
            <w:tcW w:w="1385" w:type="dxa"/>
            <w:tcBorders>
              <w:top w:val="single" w:color="auto" w:sz="4" w:space="0"/>
            </w:tcBorders>
            <w:vAlign w:val="center"/>
          </w:tcPr>
          <w:p w14:paraId="0E27B8FD">
            <w:pPr>
              <w:pStyle w:val="93"/>
              <w:spacing w:line="360" w:lineRule="auto"/>
              <w:jc w:val="center"/>
              <w:rPr>
                <w:rFonts w:cs="Times New Roman"/>
                <w:sz w:val="20"/>
                <w:szCs w:val="20"/>
              </w:rPr>
            </w:pPr>
            <w:r>
              <w:rPr>
                <w:rFonts w:cs="Times New Roman"/>
                <w:sz w:val="20"/>
                <w:szCs w:val="20"/>
              </w:rPr>
              <w:t>0.0393</w:t>
            </w:r>
          </w:p>
        </w:tc>
        <w:tc>
          <w:tcPr>
            <w:tcW w:w="1376" w:type="dxa"/>
            <w:tcBorders>
              <w:top w:val="single" w:color="auto" w:sz="4" w:space="0"/>
            </w:tcBorders>
            <w:vAlign w:val="center"/>
          </w:tcPr>
          <w:p w14:paraId="24F06F05">
            <w:pPr>
              <w:pStyle w:val="93"/>
              <w:spacing w:line="360" w:lineRule="auto"/>
              <w:jc w:val="center"/>
              <w:rPr>
                <w:rFonts w:cs="Times New Roman"/>
                <w:sz w:val="20"/>
                <w:szCs w:val="20"/>
              </w:rPr>
            </w:pPr>
            <w:r>
              <w:rPr>
                <w:rFonts w:cs="Times New Roman"/>
                <w:sz w:val="20"/>
                <w:szCs w:val="20"/>
              </w:rPr>
              <w:t>0.6229</w:t>
            </w:r>
          </w:p>
        </w:tc>
      </w:tr>
      <w:tr w14:paraId="30293CC3">
        <w:tblPrEx>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317" w:type="dxa"/>
            <w:vMerge w:val="continue"/>
          </w:tcPr>
          <w:p w14:paraId="43C6A5E6">
            <w:pPr>
              <w:pStyle w:val="93"/>
              <w:spacing w:line="360" w:lineRule="auto"/>
              <w:rPr>
                <w:rFonts w:cs="Times New Roman"/>
                <w:sz w:val="20"/>
                <w:szCs w:val="20"/>
              </w:rPr>
            </w:pPr>
          </w:p>
        </w:tc>
        <w:tc>
          <w:tcPr>
            <w:tcW w:w="1583" w:type="dxa"/>
          </w:tcPr>
          <w:p w14:paraId="36D73D4D">
            <w:pPr>
              <w:pStyle w:val="93"/>
              <w:spacing w:line="360" w:lineRule="auto"/>
              <w:rPr>
                <w:rFonts w:cs="Times New Roman"/>
                <w:sz w:val="20"/>
                <w:szCs w:val="20"/>
              </w:rPr>
            </w:pPr>
            <w:r>
              <w:rPr>
                <w:rFonts w:cs="Times New Roman"/>
                <w:sz w:val="20"/>
                <w:szCs w:val="20"/>
              </w:rPr>
              <w:t>Overall CM</w:t>
            </w:r>
          </w:p>
        </w:tc>
        <w:tc>
          <w:tcPr>
            <w:tcW w:w="1386" w:type="dxa"/>
            <w:vAlign w:val="center"/>
          </w:tcPr>
          <w:p w14:paraId="7A577727">
            <w:pPr>
              <w:pStyle w:val="93"/>
              <w:spacing w:line="360" w:lineRule="auto"/>
              <w:jc w:val="center"/>
              <w:rPr>
                <w:rFonts w:cs="Times New Roman"/>
                <w:sz w:val="20"/>
                <w:szCs w:val="20"/>
              </w:rPr>
            </w:pPr>
            <w:r>
              <w:rPr>
                <w:rFonts w:cs="Times New Roman"/>
                <w:sz w:val="20"/>
                <w:szCs w:val="20"/>
              </w:rPr>
              <w:t>0.0315</w:t>
            </w:r>
          </w:p>
        </w:tc>
        <w:tc>
          <w:tcPr>
            <w:tcW w:w="1385" w:type="dxa"/>
            <w:vAlign w:val="center"/>
          </w:tcPr>
          <w:p w14:paraId="08831E9D">
            <w:pPr>
              <w:pStyle w:val="93"/>
              <w:spacing w:line="360" w:lineRule="auto"/>
              <w:jc w:val="center"/>
              <w:rPr>
                <w:rFonts w:cs="Times New Roman"/>
                <w:sz w:val="20"/>
                <w:szCs w:val="20"/>
              </w:rPr>
            </w:pPr>
            <w:r>
              <w:rPr>
                <w:rFonts w:cs="Times New Roman"/>
                <w:sz w:val="20"/>
                <w:szCs w:val="20"/>
              </w:rPr>
              <w:t>0.0010</w:t>
            </w:r>
          </w:p>
        </w:tc>
        <w:tc>
          <w:tcPr>
            <w:tcW w:w="1385" w:type="dxa"/>
            <w:vAlign w:val="center"/>
          </w:tcPr>
          <w:p w14:paraId="293A21DC">
            <w:pPr>
              <w:pStyle w:val="93"/>
              <w:spacing w:line="360" w:lineRule="auto"/>
              <w:jc w:val="center"/>
              <w:rPr>
                <w:rFonts w:cs="Times New Roman"/>
                <w:sz w:val="20"/>
                <w:szCs w:val="20"/>
              </w:rPr>
            </w:pPr>
            <w:r>
              <w:rPr>
                <w:rFonts w:cs="Times New Roman"/>
                <w:sz w:val="20"/>
                <w:szCs w:val="20"/>
              </w:rPr>
              <w:t>0.0195</w:t>
            </w:r>
          </w:p>
        </w:tc>
        <w:tc>
          <w:tcPr>
            <w:tcW w:w="1376" w:type="dxa"/>
            <w:vAlign w:val="center"/>
          </w:tcPr>
          <w:p w14:paraId="3631D0EF">
            <w:pPr>
              <w:pStyle w:val="93"/>
              <w:spacing w:line="360" w:lineRule="auto"/>
              <w:jc w:val="center"/>
              <w:rPr>
                <w:rFonts w:cs="Times New Roman"/>
                <w:sz w:val="20"/>
                <w:szCs w:val="20"/>
              </w:rPr>
            </w:pPr>
            <w:r>
              <w:rPr>
                <w:rFonts w:cs="Times New Roman"/>
                <w:sz w:val="20"/>
                <w:szCs w:val="20"/>
              </w:rPr>
              <w:t>0.9686</w:t>
            </w:r>
          </w:p>
        </w:tc>
      </w:tr>
      <w:tr w14:paraId="4B235D33">
        <w:tblPrEx>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317" w:type="dxa"/>
            <w:vMerge w:val="continue"/>
          </w:tcPr>
          <w:p w14:paraId="390CD9CF">
            <w:pPr>
              <w:pStyle w:val="93"/>
              <w:spacing w:line="360" w:lineRule="auto"/>
              <w:rPr>
                <w:rFonts w:cs="Times New Roman"/>
                <w:sz w:val="20"/>
                <w:szCs w:val="20"/>
              </w:rPr>
            </w:pPr>
          </w:p>
        </w:tc>
        <w:tc>
          <w:tcPr>
            <w:tcW w:w="1583" w:type="dxa"/>
          </w:tcPr>
          <w:p w14:paraId="3D0CB34A">
            <w:pPr>
              <w:pStyle w:val="93"/>
              <w:spacing w:line="360" w:lineRule="auto"/>
              <w:rPr>
                <w:rFonts w:cs="Times New Roman"/>
                <w:sz w:val="20"/>
                <w:szCs w:val="20"/>
              </w:rPr>
            </w:pPr>
            <w:r>
              <w:rPr>
                <w:rFonts w:cs="Times New Roman"/>
                <w:sz w:val="20"/>
                <w:szCs w:val="20"/>
              </w:rPr>
              <w:t>51DMU MI</w:t>
            </w:r>
          </w:p>
        </w:tc>
        <w:tc>
          <w:tcPr>
            <w:tcW w:w="1386" w:type="dxa"/>
            <w:vAlign w:val="center"/>
          </w:tcPr>
          <w:p w14:paraId="2B46F699">
            <w:pPr>
              <w:pStyle w:val="93"/>
              <w:spacing w:line="360" w:lineRule="auto"/>
              <w:jc w:val="center"/>
              <w:rPr>
                <w:rFonts w:cs="Times New Roman"/>
                <w:sz w:val="20"/>
                <w:szCs w:val="20"/>
              </w:rPr>
            </w:pPr>
            <w:r>
              <w:rPr>
                <w:rFonts w:cs="Times New Roman"/>
                <w:sz w:val="20"/>
                <w:szCs w:val="20"/>
              </w:rPr>
              <w:t>0.0284</w:t>
            </w:r>
          </w:p>
        </w:tc>
        <w:tc>
          <w:tcPr>
            <w:tcW w:w="1385" w:type="dxa"/>
            <w:vAlign w:val="center"/>
          </w:tcPr>
          <w:p w14:paraId="5C6F27D1">
            <w:pPr>
              <w:pStyle w:val="93"/>
              <w:spacing w:line="360" w:lineRule="auto"/>
              <w:jc w:val="center"/>
              <w:rPr>
                <w:rFonts w:cs="Times New Roman"/>
                <w:sz w:val="20"/>
                <w:szCs w:val="20"/>
              </w:rPr>
            </w:pPr>
            <w:r>
              <w:rPr>
                <w:rFonts w:cs="Times New Roman"/>
                <w:sz w:val="20"/>
                <w:szCs w:val="20"/>
              </w:rPr>
              <w:t>0.0008</w:t>
            </w:r>
          </w:p>
        </w:tc>
        <w:tc>
          <w:tcPr>
            <w:tcW w:w="1385" w:type="dxa"/>
            <w:vAlign w:val="center"/>
          </w:tcPr>
          <w:p w14:paraId="2F576DC5">
            <w:pPr>
              <w:pStyle w:val="93"/>
              <w:spacing w:line="360" w:lineRule="auto"/>
              <w:jc w:val="center"/>
              <w:rPr>
                <w:rFonts w:cs="Times New Roman"/>
                <w:sz w:val="20"/>
                <w:szCs w:val="20"/>
              </w:rPr>
            </w:pPr>
            <w:r>
              <w:rPr>
                <w:rFonts w:cs="Times New Roman"/>
                <w:sz w:val="20"/>
                <w:szCs w:val="20"/>
              </w:rPr>
              <w:t>0.0210</w:t>
            </w:r>
          </w:p>
        </w:tc>
        <w:tc>
          <w:tcPr>
            <w:tcW w:w="1376" w:type="dxa"/>
            <w:vAlign w:val="center"/>
          </w:tcPr>
          <w:p w14:paraId="481AE72C">
            <w:pPr>
              <w:pStyle w:val="93"/>
              <w:spacing w:line="360" w:lineRule="auto"/>
              <w:jc w:val="center"/>
              <w:rPr>
                <w:rFonts w:cs="Times New Roman"/>
                <w:sz w:val="20"/>
                <w:szCs w:val="20"/>
              </w:rPr>
            </w:pPr>
            <w:r>
              <w:rPr>
                <w:rFonts w:cs="Times New Roman"/>
                <w:sz w:val="20"/>
                <w:szCs w:val="20"/>
              </w:rPr>
              <w:t>0.7813</w:t>
            </w:r>
          </w:p>
        </w:tc>
      </w:tr>
      <w:tr w14:paraId="1C96989C">
        <w:tblPrEx>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317" w:type="dxa"/>
            <w:vMerge w:val="continue"/>
          </w:tcPr>
          <w:p w14:paraId="26BB3BAE">
            <w:pPr>
              <w:pStyle w:val="93"/>
              <w:spacing w:line="360" w:lineRule="auto"/>
              <w:rPr>
                <w:rFonts w:cs="Times New Roman"/>
                <w:sz w:val="20"/>
                <w:szCs w:val="20"/>
              </w:rPr>
            </w:pPr>
          </w:p>
        </w:tc>
        <w:tc>
          <w:tcPr>
            <w:tcW w:w="1583" w:type="dxa"/>
          </w:tcPr>
          <w:p w14:paraId="77ED46FE">
            <w:pPr>
              <w:pStyle w:val="93"/>
              <w:spacing w:line="360" w:lineRule="auto"/>
              <w:rPr>
                <w:rFonts w:cs="Times New Roman"/>
                <w:sz w:val="20"/>
                <w:szCs w:val="20"/>
              </w:rPr>
            </w:pPr>
            <w:r>
              <w:rPr>
                <w:rFonts w:cs="Times New Roman"/>
                <w:sz w:val="20"/>
                <w:szCs w:val="20"/>
              </w:rPr>
              <w:t>51DMU CM</w:t>
            </w:r>
          </w:p>
        </w:tc>
        <w:tc>
          <w:tcPr>
            <w:tcW w:w="1386" w:type="dxa"/>
            <w:vAlign w:val="center"/>
          </w:tcPr>
          <w:p w14:paraId="64C974BC">
            <w:pPr>
              <w:pStyle w:val="93"/>
              <w:spacing w:line="360" w:lineRule="auto"/>
              <w:jc w:val="center"/>
              <w:rPr>
                <w:rFonts w:cs="Times New Roman"/>
                <w:sz w:val="20"/>
                <w:szCs w:val="20"/>
              </w:rPr>
            </w:pPr>
            <w:r>
              <w:rPr>
                <w:rFonts w:cs="Times New Roman"/>
                <w:sz w:val="20"/>
                <w:szCs w:val="20"/>
              </w:rPr>
              <w:t>0.1636</w:t>
            </w:r>
          </w:p>
        </w:tc>
        <w:tc>
          <w:tcPr>
            <w:tcW w:w="1385" w:type="dxa"/>
            <w:vAlign w:val="center"/>
          </w:tcPr>
          <w:p w14:paraId="1F9030E2">
            <w:pPr>
              <w:pStyle w:val="93"/>
              <w:spacing w:line="360" w:lineRule="auto"/>
              <w:jc w:val="center"/>
              <w:rPr>
                <w:rFonts w:cs="Times New Roman"/>
                <w:sz w:val="20"/>
                <w:szCs w:val="20"/>
              </w:rPr>
            </w:pPr>
            <w:r>
              <w:rPr>
                <w:rFonts w:cs="Times New Roman"/>
                <w:sz w:val="20"/>
                <w:szCs w:val="20"/>
              </w:rPr>
              <w:t>0.0268</w:t>
            </w:r>
          </w:p>
        </w:tc>
        <w:tc>
          <w:tcPr>
            <w:tcW w:w="1385" w:type="dxa"/>
            <w:vAlign w:val="center"/>
          </w:tcPr>
          <w:p w14:paraId="79B006BF">
            <w:pPr>
              <w:pStyle w:val="93"/>
              <w:spacing w:line="360" w:lineRule="auto"/>
              <w:jc w:val="center"/>
              <w:rPr>
                <w:rFonts w:cs="Times New Roman"/>
                <w:sz w:val="20"/>
                <w:szCs w:val="20"/>
              </w:rPr>
            </w:pPr>
            <w:r>
              <w:rPr>
                <w:rFonts w:cs="Times New Roman"/>
                <w:sz w:val="20"/>
                <w:szCs w:val="20"/>
              </w:rPr>
              <w:t>0.1255</w:t>
            </w:r>
          </w:p>
        </w:tc>
        <w:tc>
          <w:tcPr>
            <w:tcW w:w="1376" w:type="dxa"/>
            <w:vAlign w:val="center"/>
          </w:tcPr>
          <w:p w14:paraId="70FFB383">
            <w:pPr>
              <w:pStyle w:val="93"/>
              <w:spacing w:line="360" w:lineRule="auto"/>
              <w:jc w:val="center"/>
              <w:rPr>
                <w:rFonts w:cs="Times New Roman"/>
                <w:sz w:val="20"/>
                <w:szCs w:val="20"/>
              </w:rPr>
            </w:pPr>
            <w:r>
              <w:rPr>
                <w:rFonts w:cs="Times New Roman"/>
                <w:sz w:val="20"/>
                <w:szCs w:val="20"/>
              </w:rPr>
              <w:t>0.6555</w:t>
            </w:r>
          </w:p>
        </w:tc>
      </w:tr>
      <w:tr w14:paraId="3EBD83D3">
        <w:tblPrEx>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3317" w:type="dxa"/>
            <w:vMerge w:val="continue"/>
          </w:tcPr>
          <w:p w14:paraId="5869616D">
            <w:pPr>
              <w:pStyle w:val="93"/>
              <w:spacing w:line="360" w:lineRule="auto"/>
              <w:rPr>
                <w:rFonts w:cs="Times New Roman"/>
                <w:sz w:val="20"/>
                <w:szCs w:val="20"/>
              </w:rPr>
            </w:pPr>
          </w:p>
        </w:tc>
        <w:tc>
          <w:tcPr>
            <w:tcW w:w="1583" w:type="dxa"/>
          </w:tcPr>
          <w:p w14:paraId="5DCB7ABF">
            <w:pPr>
              <w:pStyle w:val="93"/>
              <w:spacing w:line="360" w:lineRule="auto"/>
              <w:jc w:val="center"/>
              <w:rPr>
                <w:rFonts w:cs="Times New Roman"/>
                <w:sz w:val="20"/>
                <w:szCs w:val="20"/>
              </w:rPr>
            </w:pPr>
            <w:r>
              <w:rPr>
                <w:rFonts w:cs="Times New Roman"/>
                <w:sz w:val="20"/>
                <w:szCs w:val="20"/>
              </w:rPr>
              <w:t>Mean</w:t>
            </w:r>
          </w:p>
        </w:tc>
        <w:tc>
          <w:tcPr>
            <w:tcW w:w="1386" w:type="dxa"/>
            <w:vAlign w:val="center"/>
          </w:tcPr>
          <w:p w14:paraId="6230DDA8">
            <w:pPr>
              <w:pStyle w:val="93"/>
              <w:spacing w:line="360" w:lineRule="auto"/>
              <w:jc w:val="center"/>
              <w:rPr>
                <w:rFonts w:cs="Times New Roman"/>
                <w:sz w:val="20"/>
                <w:szCs w:val="20"/>
              </w:rPr>
            </w:pPr>
            <w:r>
              <w:rPr>
                <w:rFonts w:eastAsia="等线" w:cs="Times New Roman"/>
                <w:sz w:val="20"/>
                <w:szCs w:val="20"/>
              </w:rPr>
              <w:t>0.0679</w:t>
            </w:r>
          </w:p>
        </w:tc>
        <w:tc>
          <w:tcPr>
            <w:tcW w:w="1385" w:type="dxa"/>
            <w:vAlign w:val="center"/>
          </w:tcPr>
          <w:p w14:paraId="07B461EF">
            <w:pPr>
              <w:pStyle w:val="93"/>
              <w:spacing w:line="360" w:lineRule="auto"/>
              <w:jc w:val="center"/>
              <w:rPr>
                <w:rFonts w:cs="Times New Roman"/>
                <w:sz w:val="20"/>
                <w:szCs w:val="20"/>
              </w:rPr>
            </w:pPr>
            <w:r>
              <w:rPr>
                <w:rFonts w:eastAsia="等线" w:cs="Times New Roman"/>
                <w:sz w:val="20"/>
                <w:szCs w:val="20"/>
              </w:rPr>
              <w:t>0.0077</w:t>
            </w:r>
          </w:p>
        </w:tc>
        <w:tc>
          <w:tcPr>
            <w:tcW w:w="1385" w:type="dxa"/>
            <w:vAlign w:val="center"/>
          </w:tcPr>
          <w:p w14:paraId="2E1DB084">
            <w:pPr>
              <w:pStyle w:val="93"/>
              <w:spacing w:line="360" w:lineRule="auto"/>
              <w:jc w:val="center"/>
              <w:rPr>
                <w:rFonts w:cs="Times New Roman"/>
                <w:sz w:val="20"/>
                <w:szCs w:val="20"/>
              </w:rPr>
            </w:pPr>
            <w:r>
              <w:rPr>
                <w:rFonts w:eastAsia="等线" w:cs="Times New Roman"/>
                <w:sz w:val="20"/>
                <w:szCs w:val="20"/>
              </w:rPr>
              <w:t>0.0513</w:t>
            </w:r>
          </w:p>
        </w:tc>
        <w:tc>
          <w:tcPr>
            <w:tcW w:w="1376" w:type="dxa"/>
            <w:vAlign w:val="center"/>
          </w:tcPr>
          <w:p w14:paraId="4409959D">
            <w:pPr>
              <w:pStyle w:val="93"/>
              <w:spacing w:line="360" w:lineRule="auto"/>
              <w:jc w:val="center"/>
              <w:rPr>
                <w:rFonts w:cs="Times New Roman"/>
                <w:sz w:val="20"/>
                <w:szCs w:val="20"/>
              </w:rPr>
            </w:pPr>
            <w:r>
              <w:rPr>
                <w:rFonts w:eastAsia="等线" w:cs="Times New Roman"/>
                <w:sz w:val="20"/>
                <w:szCs w:val="20"/>
              </w:rPr>
              <w:t>0.7570</w:t>
            </w:r>
          </w:p>
        </w:tc>
      </w:tr>
      <w:tr w14:paraId="780CD474">
        <w:tblPrEx>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317" w:type="dxa"/>
            <w:vMerge w:val="restart"/>
          </w:tcPr>
          <w:p w14:paraId="0776FCB0">
            <w:pPr>
              <w:pStyle w:val="93"/>
              <w:spacing w:line="360" w:lineRule="auto"/>
              <w:rPr>
                <w:rFonts w:cs="Times New Roman"/>
                <w:sz w:val="20"/>
                <w:szCs w:val="20"/>
              </w:rPr>
            </w:pPr>
          </w:p>
          <w:p w14:paraId="7AC8A6E7">
            <w:pPr>
              <w:pStyle w:val="93"/>
              <w:spacing w:line="360" w:lineRule="auto"/>
              <w:jc w:val="center"/>
              <w:rPr>
                <w:rFonts w:cs="Times New Roman"/>
                <w:sz w:val="20"/>
                <w:szCs w:val="20"/>
              </w:rPr>
            </w:pPr>
          </w:p>
          <w:p w14:paraId="7EB7EA3E">
            <w:pPr>
              <w:pStyle w:val="93"/>
              <w:spacing w:line="360" w:lineRule="auto"/>
              <w:jc w:val="center"/>
              <w:rPr>
                <w:rFonts w:cs="Times New Roman"/>
                <w:sz w:val="20"/>
                <w:szCs w:val="20"/>
              </w:rPr>
            </w:pPr>
            <w:r>
              <w:rPr>
                <w:rFonts w:cs="Times New Roman"/>
                <w:sz w:val="20"/>
                <w:szCs w:val="20"/>
              </w:rPr>
              <w:t>BP neural network</w:t>
            </w:r>
          </w:p>
          <w:p w14:paraId="70A25650">
            <w:pPr>
              <w:pStyle w:val="93"/>
              <w:spacing w:line="360" w:lineRule="auto"/>
              <w:rPr>
                <w:rFonts w:cs="Times New Roman"/>
                <w:sz w:val="20"/>
                <w:szCs w:val="20"/>
              </w:rPr>
            </w:pPr>
          </w:p>
        </w:tc>
        <w:tc>
          <w:tcPr>
            <w:tcW w:w="1583" w:type="dxa"/>
          </w:tcPr>
          <w:p w14:paraId="1ED63CC4">
            <w:pPr>
              <w:pStyle w:val="93"/>
              <w:spacing w:line="360" w:lineRule="auto"/>
              <w:rPr>
                <w:rFonts w:cs="Times New Roman"/>
                <w:sz w:val="20"/>
                <w:szCs w:val="20"/>
              </w:rPr>
            </w:pPr>
            <w:r>
              <w:rPr>
                <w:rFonts w:cs="Times New Roman"/>
                <w:sz w:val="20"/>
                <w:szCs w:val="20"/>
              </w:rPr>
              <w:t>Overall MI</w:t>
            </w:r>
          </w:p>
        </w:tc>
        <w:tc>
          <w:tcPr>
            <w:tcW w:w="1386" w:type="dxa"/>
            <w:vAlign w:val="center"/>
          </w:tcPr>
          <w:p w14:paraId="1BE5EEDE">
            <w:pPr>
              <w:pStyle w:val="93"/>
              <w:spacing w:line="360" w:lineRule="auto"/>
              <w:jc w:val="center"/>
              <w:rPr>
                <w:rFonts w:cs="Times New Roman"/>
                <w:sz w:val="20"/>
                <w:szCs w:val="20"/>
              </w:rPr>
            </w:pPr>
            <w:r>
              <w:rPr>
                <w:rFonts w:cs="Times New Roman"/>
                <w:sz w:val="20"/>
                <w:szCs w:val="20"/>
              </w:rPr>
              <w:t>0.0156</w:t>
            </w:r>
          </w:p>
        </w:tc>
        <w:tc>
          <w:tcPr>
            <w:tcW w:w="1385" w:type="dxa"/>
            <w:vAlign w:val="center"/>
          </w:tcPr>
          <w:p w14:paraId="5F096EF2">
            <w:pPr>
              <w:pStyle w:val="93"/>
              <w:spacing w:line="360" w:lineRule="auto"/>
              <w:jc w:val="center"/>
              <w:rPr>
                <w:rFonts w:cs="Times New Roman"/>
                <w:sz w:val="20"/>
                <w:szCs w:val="20"/>
              </w:rPr>
            </w:pPr>
            <w:r>
              <w:rPr>
                <w:rFonts w:cs="Times New Roman"/>
                <w:sz w:val="20"/>
                <w:szCs w:val="20"/>
              </w:rPr>
              <w:t>0.0002</w:t>
            </w:r>
          </w:p>
        </w:tc>
        <w:tc>
          <w:tcPr>
            <w:tcW w:w="1385" w:type="dxa"/>
            <w:vAlign w:val="center"/>
          </w:tcPr>
          <w:p w14:paraId="07F231E1">
            <w:pPr>
              <w:pStyle w:val="93"/>
              <w:spacing w:line="360" w:lineRule="auto"/>
              <w:jc w:val="center"/>
              <w:rPr>
                <w:rFonts w:cs="Times New Roman"/>
                <w:sz w:val="20"/>
                <w:szCs w:val="20"/>
              </w:rPr>
            </w:pPr>
            <w:r>
              <w:rPr>
                <w:rFonts w:cs="Times New Roman"/>
                <w:sz w:val="20"/>
                <w:szCs w:val="20"/>
              </w:rPr>
              <w:t>0.0141</w:t>
            </w:r>
          </w:p>
        </w:tc>
        <w:tc>
          <w:tcPr>
            <w:tcW w:w="1376" w:type="dxa"/>
            <w:vAlign w:val="center"/>
          </w:tcPr>
          <w:p w14:paraId="717030CB">
            <w:pPr>
              <w:pStyle w:val="93"/>
              <w:spacing w:line="360" w:lineRule="auto"/>
              <w:jc w:val="center"/>
              <w:rPr>
                <w:rFonts w:cs="Times New Roman"/>
                <w:sz w:val="20"/>
                <w:szCs w:val="20"/>
              </w:rPr>
            </w:pPr>
            <w:r>
              <w:rPr>
                <w:rFonts w:cs="Times New Roman"/>
                <w:sz w:val="20"/>
                <w:szCs w:val="20"/>
              </w:rPr>
              <w:t>0.9605</w:t>
            </w:r>
          </w:p>
        </w:tc>
      </w:tr>
      <w:tr w14:paraId="00B9AC18">
        <w:tblPrEx>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317" w:type="dxa"/>
            <w:vMerge w:val="continue"/>
          </w:tcPr>
          <w:p w14:paraId="1F3F57F6">
            <w:pPr>
              <w:pStyle w:val="93"/>
              <w:spacing w:line="360" w:lineRule="auto"/>
              <w:rPr>
                <w:rFonts w:cs="Times New Roman"/>
                <w:sz w:val="20"/>
                <w:szCs w:val="20"/>
              </w:rPr>
            </w:pPr>
          </w:p>
        </w:tc>
        <w:tc>
          <w:tcPr>
            <w:tcW w:w="1583" w:type="dxa"/>
          </w:tcPr>
          <w:p w14:paraId="5C1E288B">
            <w:pPr>
              <w:pStyle w:val="93"/>
              <w:spacing w:line="360" w:lineRule="auto"/>
              <w:rPr>
                <w:rFonts w:cs="Times New Roman"/>
                <w:sz w:val="20"/>
                <w:szCs w:val="20"/>
              </w:rPr>
            </w:pPr>
            <w:r>
              <w:rPr>
                <w:rFonts w:cs="Times New Roman"/>
                <w:sz w:val="20"/>
                <w:szCs w:val="20"/>
              </w:rPr>
              <w:t>Overall CM</w:t>
            </w:r>
          </w:p>
        </w:tc>
        <w:tc>
          <w:tcPr>
            <w:tcW w:w="1386" w:type="dxa"/>
            <w:vAlign w:val="center"/>
          </w:tcPr>
          <w:p w14:paraId="0C0654D6">
            <w:pPr>
              <w:pStyle w:val="93"/>
              <w:spacing w:line="360" w:lineRule="auto"/>
              <w:jc w:val="center"/>
              <w:rPr>
                <w:rFonts w:cs="Times New Roman"/>
                <w:sz w:val="20"/>
                <w:szCs w:val="20"/>
              </w:rPr>
            </w:pPr>
            <w:r>
              <w:rPr>
                <w:rFonts w:cs="Times New Roman"/>
                <w:sz w:val="20"/>
                <w:szCs w:val="20"/>
              </w:rPr>
              <w:t>0.0558</w:t>
            </w:r>
          </w:p>
        </w:tc>
        <w:tc>
          <w:tcPr>
            <w:tcW w:w="1385" w:type="dxa"/>
            <w:vAlign w:val="center"/>
          </w:tcPr>
          <w:p w14:paraId="69F13E47">
            <w:pPr>
              <w:pStyle w:val="93"/>
              <w:spacing w:line="360" w:lineRule="auto"/>
              <w:jc w:val="center"/>
              <w:rPr>
                <w:rFonts w:cs="Times New Roman"/>
                <w:sz w:val="20"/>
                <w:szCs w:val="20"/>
              </w:rPr>
            </w:pPr>
            <w:r>
              <w:rPr>
                <w:rFonts w:cs="Times New Roman"/>
                <w:sz w:val="20"/>
                <w:szCs w:val="20"/>
              </w:rPr>
              <w:t>0.0031</w:t>
            </w:r>
          </w:p>
        </w:tc>
        <w:tc>
          <w:tcPr>
            <w:tcW w:w="1385" w:type="dxa"/>
            <w:vAlign w:val="center"/>
          </w:tcPr>
          <w:p w14:paraId="66EF0DE5">
            <w:pPr>
              <w:pStyle w:val="93"/>
              <w:spacing w:line="360" w:lineRule="auto"/>
              <w:jc w:val="center"/>
              <w:rPr>
                <w:rFonts w:cs="Times New Roman"/>
                <w:sz w:val="20"/>
                <w:szCs w:val="20"/>
              </w:rPr>
            </w:pPr>
            <w:r>
              <w:rPr>
                <w:rFonts w:cs="Times New Roman"/>
                <w:sz w:val="20"/>
                <w:szCs w:val="20"/>
              </w:rPr>
              <w:t>0.0423</w:t>
            </w:r>
          </w:p>
        </w:tc>
        <w:tc>
          <w:tcPr>
            <w:tcW w:w="1376" w:type="dxa"/>
            <w:vAlign w:val="center"/>
          </w:tcPr>
          <w:p w14:paraId="7BF4FDCD">
            <w:pPr>
              <w:pStyle w:val="93"/>
              <w:spacing w:line="360" w:lineRule="auto"/>
              <w:jc w:val="center"/>
              <w:rPr>
                <w:rFonts w:cs="Times New Roman"/>
                <w:sz w:val="20"/>
                <w:szCs w:val="20"/>
              </w:rPr>
            </w:pPr>
            <w:r>
              <w:rPr>
                <w:rFonts w:cs="Times New Roman"/>
                <w:sz w:val="20"/>
                <w:szCs w:val="20"/>
              </w:rPr>
              <w:t>0.9014</w:t>
            </w:r>
          </w:p>
        </w:tc>
      </w:tr>
      <w:tr w14:paraId="71FCC70A">
        <w:tblPrEx>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317" w:type="dxa"/>
            <w:vMerge w:val="continue"/>
          </w:tcPr>
          <w:p w14:paraId="6E0BC9B1">
            <w:pPr>
              <w:pStyle w:val="93"/>
              <w:spacing w:line="360" w:lineRule="auto"/>
              <w:rPr>
                <w:rFonts w:cs="Times New Roman"/>
                <w:sz w:val="20"/>
                <w:szCs w:val="20"/>
              </w:rPr>
            </w:pPr>
          </w:p>
        </w:tc>
        <w:tc>
          <w:tcPr>
            <w:tcW w:w="1583" w:type="dxa"/>
          </w:tcPr>
          <w:p w14:paraId="55457540">
            <w:pPr>
              <w:pStyle w:val="93"/>
              <w:spacing w:line="360" w:lineRule="auto"/>
              <w:rPr>
                <w:rFonts w:cs="Times New Roman"/>
                <w:sz w:val="20"/>
                <w:szCs w:val="20"/>
              </w:rPr>
            </w:pPr>
            <w:r>
              <w:rPr>
                <w:rFonts w:cs="Times New Roman"/>
                <w:sz w:val="20"/>
                <w:szCs w:val="20"/>
              </w:rPr>
              <w:t>51DMU MI</w:t>
            </w:r>
          </w:p>
        </w:tc>
        <w:tc>
          <w:tcPr>
            <w:tcW w:w="1386" w:type="dxa"/>
            <w:vAlign w:val="center"/>
          </w:tcPr>
          <w:p w14:paraId="64AFF77B">
            <w:pPr>
              <w:pStyle w:val="93"/>
              <w:spacing w:line="360" w:lineRule="auto"/>
              <w:jc w:val="center"/>
              <w:rPr>
                <w:rFonts w:cs="Times New Roman"/>
                <w:sz w:val="20"/>
                <w:szCs w:val="20"/>
              </w:rPr>
            </w:pPr>
            <w:r>
              <w:rPr>
                <w:rFonts w:cs="Times New Roman"/>
                <w:sz w:val="20"/>
                <w:szCs w:val="20"/>
              </w:rPr>
              <w:t>0.0076</w:t>
            </w:r>
          </w:p>
        </w:tc>
        <w:tc>
          <w:tcPr>
            <w:tcW w:w="1385" w:type="dxa"/>
            <w:vAlign w:val="center"/>
          </w:tcPr>
          <w:p w14:paraId="4DB624B7">
            <w:pPr>
              <w:pStyle w:val="93"/>
              <w:spacing w:line="360" w:lineRule="auto"/>
              <w:jc w:val="center"/>
              <w:rPr>
                <w:rFonts w:cs="Times New Roman"/>
                <w:sz w:val="20"/>
                <w:szCs w:val="20"/>
              </w:rPr>
            </w:pPr>
            <w:r>
              <w:rPr>
                <w:rFonts w:cs="Times New Roman"/>
                <w:sz w:val="20"/>
                <w:szCs w:val="20"/>
              </w:rPr>
              <w:t>0.0001</w:t>
            </w:r>
          </w:p>
        </w:tc>
        <w:tc>
          <w:tcPr>
            <w:tcW w:w="1385" w:type="dxa"/>
            <w:vAlign w:val="center"/>
          </w:tcPr>
          <w:p w14:paraId="5FAB640F">
            <w:pPr>
              <w:pStyle w:val="93"/>
              <w:spacing w:line="360" w:lineRule="auto"/>
              <w:jc w:val="center"/>
              <w:rPr>
                <w:rFonts w:cs="Times New Roman"/>
                <w:sz w:val="20"/>
                <w:szCs w:val="20"/>
              </w:rPr>
            </w:pPr>
            <w:r>
              <w:rPr>
                <w:rFonts w:cs="Times New Roman"/>
                <w:sz w:val="20"/>
                <w:szCs w:val="20"/>
              </w:rPr>
              <w:t>0.0042</w:t>
            </w:r>
          </w:p>
        </w:tc>
        <w:tc>
          <w:tcPr>
            <w:tcW w:w="1376" w:type="dxa"/>
            <w:vAlign w:val="center"/>
          </w:tcPr>
          <w:p w14:paraId="4D2A7CA6">
            <w:pPr>
              <w:pStyle w:val="93"/>
              <w:spacing w:line="360" w:lineRule="auto"/>
              <w:jc w:val="center"/>
              <w:rPr>
                <w:rFonts w:cs="Times New Roman"/>
                <w:sz w:val="20"/>
                <w:szCs w:val="20"/>
              </w:rPr>
            </w:pPr>
            <w:r>
              <w:rPr>
                <w:rFonts w:cs="Times New Roman"/>
                <w:sz w:val="20"/>
                <w:szCs w:val="20"/>
              </w:rPr>
              <w:t>0.9843</w:t>
            </w:r>
          </w:p>
        </w:tc>
      </w:tr>
      <w:tr w14:paraId="49DA7A55">
        <w:tblPrEx>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317" w:type="dxa"/>
            <w:vMerge w:val="continue"/>
          </w:tcPr>
          <w:p w14:paraId="096CC991">
            <w:pPr>
              <w:pStyle w:val="93"/>
              <w:spacing w:line="360" w:lineRule="auto"/>
              <w:rPr>
                <w:rFonts w:cs="Times New Roman"/>
                <w:sz w:val="20"/>
                <w:szCs w:val="20"/>
              </w:rPr>
            </w:pPr>
          </w:p>
        </w:tc>
        <w:tc>
          <w:tcPr>
            <w:tcW w:w="1583" w:type="dxa"/>
          </w:tcPr>
          <w:p w14:paraId="2D7D67C4">
            <w:pPr>
              <w:pStyle w:val="93"/>
              <w:spacing w:line="360" w:lineRule="auto"/>
              <w:rPr>
                <w:rFonts w:cs="Times New Roman"/>
                <w:sz w:val="20"/>
                <w:szCs w:val="20"/>
              </w:rPr>
            </w:pPr>
            <w:r>
              <w:rPr>
                <w:rFonts w:cs="Times New Roman"/>
                <w:sz w:val="20"/>
                <w:szCs w:val="20"/>
              </w:rPr>
              <w:t>51DMU CM</w:t>
            </w:r>
          </w:p>
        </w:tc>
        <w:tc>
          <w:tcPr>
            <w:tcW w:w="1386" w:type="dxa"/>
            <w:vAlign w:val="center"/>
          </w:tcPr>
          <w:p w14:paraId="3F02847F">
            <w:pPr>
              <w:pStyle w:val="93"/>
              <w:spacing w:line="360" w:lineRule="auto"/>
              <w:jc w:val="center"/>
              <w:rPr>
                <w:rFonts w:cs="Times New Roman"/>
                <w:sz w:val="20"/>
                <w:szCs w:val="20"/>
              </w:rPr>
            </w:pPr>
            <w:r>
              <w:rPr>
                <w:rFonts w:cs="Times New Roman"/>
                <w:sz w:val="20"/>
                <w:szCs w:val="20"/>
              </w:rPr>
              <w:t>0.0736</w:t>
            </w:r>
          </w:p>
        </w:tc>
        <w:tc>
          <w:tcPr>
            <w:tcW w:w="1385" w:type="dxa"/>
            <w:vAlign w:val="center"/>
          </w:tcPr>
          <w:p w14:paraId="5EA1E21D">
            <w:pPr>
              <w:pStyle w:val="93"/>
              <w:spacing w:line="360" w:lineRule="auto"/>
              <w:jc w:val="center"/>
              <w:rPr>
                <w:rFonts w:cs="Times New Roman"/>
                <w:sz w:val="20"/>
                <w:szCs w:val="20"/>
              </w:rPr>
            </w:pPr>
            <w:r>
              <w:rPr>
                <w:rFonts w:cs="Times New Roman"/>
                <w:sz w:val="20"/>
                <w:szCs w:val="20"/>
              </w:rPr>
              <w:t>0.0054</w:t>
            </w:r>
          </w:p>
        </w:tc>
        <w:tc>
          <w:tcPr>
            <w:tcW w:w="1385" w:type="dxa"/>
            <w:vAlign w:val="center"/>
          </w:tcPr>
          <w:p w14:paraId="036C548C">
            <w:pPr>
              <w:pStyle w:val="93"/>
              <w:spacing w:line="360" w:lineRule="auto"/>
              <w:jc w:val="center"/>
              <w:rPr>
                <w:rFonts w:cs="Times New Roman"/>
                <w:sz w:val="20"/>
                <w:szCs w:val="20"/>
              </w:rPr>
            </w:pPr>
            <w:r>
              <w:rPr>
                <w:rFonts w:cs="Times New Roman"/>
                <w:sz w:val="20"/>
                <w:szCs w:val="20"/>
              </w:rPr>
              <w:t>0.0472</w:t>
            </w:r>
          </w:p>
        </w:tc>
        <w:tc>
          <w:tcPr>
            <w:tcW w:w="1376" w:type="dxa"/>
            <w:vAlign w:val="center"/>
          </w:tcPr>
          <w:p w14:paraId="6DF42273">
            <w:pPr>
              <w:pStyle w:val="93"/>
              <w:spacing w:line="360" w:lineRule="auto"/>
              <w:jc w:val="center"/>
              <w:rPr>
                <w:rFonts w:cs="Times New Roman"/>
                <w:sz w:val="20"/>
                <w:szCs w:val="20"/>
              </w:rPr>
            </w:pPr>
            <w:r>
              <w:rPr>
                <w:rFonts w:cs="Times New Roman"/>
                <w:sz w:val="20"/>
                <w:szCs w:val="20"/>
              </w:rPr>
              <w:t>0.9302</w:t>
            </w:r>
          </w:p>
        </w:tc>
      </w:tr>
      <w:tr w14:paraId="52382FAE">
        <w:tblPrEx>
          <w:tblBorders>
            <w:top w:val="thinThickSmallGap" w:color="auto" w:sz="12" w:space="0"/>
            <w:left w:val="none" w:color="auto" w:sz="0" w:space="0"/>
            <w:bottom w:val="thickThinSmallGap"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3317" w:type="dxa"/>
            <w:vMerge w:val="continue"/>
          </w:tcPr>
          <w:p w14:paraId="5D93DFBA">
            <w:pPr>
              <w:pStyle w:val="93"/>
              <w:spacing w:line="360" w:lineRule="auto"/>
              <w:rPr>
                <w:rFonts w:cs="Times New Roman"/>
                <w:sz w:val="20"/>
                <w:szCs w:val="20"/>
              </w:rPr>
            </w:pPr>
          </w:p>
        </w:tc>
        <w:tc>
          <w:tcPr>
            <w:tcW w:w="1583" w:type="dxa"/>
          </w:tcPr>
          <w:p w14:paraId="0CFABC0A">
            <w:pPr>
              <w:pStyle w:val="93"/>
              <w:spacing w:line="360" w:lineRule="auto"/>
              <w:jc w:val="center"/>
              <w:rPr>
                <w:rFonts w:cs="Times New Roman"/>
                <w:sz w:val="20"/>
                <w:szCs w:val="20"/>
              </w:rPr>
            </w:pPr>
            <w:r>
              <w:rPr>
                <w:rFonts w:cs="Times New Roman"/>
                <w:sz w:val="20"/>
                <w:szCs w:val="20"/>
              </w:rPr>
              <w:t>Mean</w:t>
            </w:r>
          </w:p>
        </w:tc>
        <w:tc>
          <w:tcPr>
            <w:tcW w:w="1386" w:type="dxa"/>
            <w:vAlign w:val="center"/>
          </w:tcPr>
          <w:p w14:paraId="0A0C7A77">
            <w:pPr>
              <w:pStyle w:val="93"/>
              <w:spacing w:line="360" w:lineRule="auto"/>
              <w:jc w:val="center"/>
              <w:rPr>
                <w:rFonts w:cs="Times New Roman"/>
                <w:sz w:val="20"/>
                <w:szCs w:val="20"/>
              </w:rPr>
            </w:pPr>
            <w:r>
              <w:rPr>
                <w:rFonts w:cs="Times New Roman"/>
                <w:sz w:val="20"/>
                <w:szCs w:val="20"/>
              </w:rPr>
              <w:t>0.0382</w:t>
            </w:r>
          </w:p>
        </w:tc>
        <w:tc>
          <w:tcPr>
            <w:tcW w:w="1385" w:type="dxa"/>
            <w:vAlign w:val="center"/>
          </w:tcPr>
          <w:p w14:paraId="1BC2EEDD">
            <w:pPr>
              <w:pStyle w:val="93"/>
              <w:spacing w:line="360" w:lineRule="auto"/>
              <w:jc w:val="center"/>
              <w:rPr>
                <w:rFonts w:cs="Times New Roman"/>
                <w:sz w:val="20"/>
                <w:szCs w:val="20"/>
              </w:rPr>
            </w:pPr>
            <w:r>
              <w:rPr>
                <w:rFonts w:cs="Times New Roman"/>
                <w:sz w:val="20"/>
                <w:szCs w:val="20"/>
              </w:rPr>
              <w:t>0.0022</w:t>
            </w:r>
          </w:p>
        </w:tc>
        <w:tc>
          <w:tcPr>
            <w:tcW w:w="1385" w:type="dxa"/>
            <w:vAlign w:val="center"/>
          </w:tcPr>
          <w:p w14:paraId="205260A4">
            <w:pPr>
              <w:pStyle w:val="93"/>
              <w:spacing w:line="360" w:lineRule="auto"/>
              <w:jc w:val="center"/>
              <w:rPr>
                <w:rFonts w:cs="Times New Roman"/>
                <w:sz w:val="20"/>
                <w:szCs w:val="20"/>
              </w:rPr>
            </w:pPr>
            <w:r>
              <w:rPr>
                <w:rFonts w:cs="Times New Roman"/>
                <w:sz w:val="20"/>
                <w:szCs w:val="20"/>
              </w:rPr>
              <w:t>0.0269</w:t>
            </w:r>
          </w:p>
        </w:tc>
        <w:tc>
          <w:tcPr>
            <w:tcW w:w="1376" w:type="dxa"/>
            <w:vAlign w:val="center"/>
          </w:tcPr>
          <w:p w14:paraId="13522A94">
            <w:pPr>
              <w:pStyle w:val="93"/>
              <w:spacing w:line="360" w:lineRule="auto"/>
              <w:jc w:val="center"/>
              <w:rPr>
                <w:rFonts w:cs="Times New Roman"/>
                <w:sz w:val="20"/>
                <w:szCs w:val="20"/>
              </w:rPr>
            </w:pPr>
            <w:r>
              <w:rPr>
                <w:rFonts w:cs="Times New Roman"/>
                <w:sz w:val="20"/>
                <w:szCs w:val="20"/>
              </w:rPr>
              <w:t>0.9441</w:t>
            </w:r>
          </w:p>
        </w:tc>
      </w:tr>
    </w:tbl>
    <w:p w14:paraId="1F5C16D0">
      <w:pPr>
        <w:pStyle w:val="35"/>
        <w:spacing w:line="360" w:lineRule="auto"/>
        <w:ind w:left="0"/>
        <w:rPr>
          <w:rFonts w:ascii="Times New Roman" w:hAnsi="Times New Roman"/>
          <w:color w:val="auto"/>
        </w:rPr>
      </w:pPr>
    </w:p>
    <w:p w14:paraId="0E474074">
      <w:pPr>
        <w:pStyle w:val="35"/>
        <w:spacing w:line="360" w:lineRule="auto"/>
        <w:ind w:left="0"/>
        <w:rPr>
          <w:rFonts w:ascii="Times New Roman" w:hAnsi="Times New Roman"/>
          <w:color w:val="auto"/>
        </w:rPr>
      </w:pPr>
      <w:r>
        <w:rPr>
          <w:rFonts w:ascii="Times New Roman" w:hAnsi="Times New Roman"/>
          <w:color w:val="auto"/>
        </w:rPr>
        <w:t>In terms of the value of the prediction accuracy evaluation indicators, both models have high prediction accuracy. The BP neural network has a higher prediction accuracy for overall MI, 51DMU MI, 51DMU CM index, but for the prediction of CM index of the overall sample retail companies, the RBF forecast results are more informative. Although these indicators can indicate a high accuracy of prediction of the two models but there is little difference between the indicators, it is difficult to judge which model is more accurate from these indicators, so this study further evaluates the performance of the models by Diebold-Mariano test.</w:t>
      </w:r>
    </w:p>
    <w:p w14:paraId="2C088C50">
      <w:pPr>
        <w:pStyle w:val="51"/>
        <w:spacing w:before="240" w:line="360" w:lineRule="auto"/>
        <w:ind w:left="0"/>
        <w:rPr>
          <w:rFonts w:ascii="Times New Roman" w:hAnsi="Times New Roman"/>
          <w:color w:val="auto"/>
        </w:rPr>
      </w:pPr>
      <w:r>
        <w:rPr>
          <w:rFonts w:ascii="Times New Roman" w:hAnsi="Times New Roman"/>
          <w:color w:val="auto"/>
        </w:rPr>
        <w:t>4.3.2. Forecasting evaluation based on Diebold-Mariano test</w:t>
      </w:r>
    </w:p>
    <w:p w14:paraId="57749536">
      <w:pPr>
        <w:pStyle w:val="35"/>
        <w:spacing w:line="360" w:lineRule="auto"/>
        <w:ind w:left="0"/>
        <w:rPr>
          <w:rFonts w:ascii="Times New Roman" w:hAnsi="Times New Roman"/>
          <w:color w:val="auto"/>
        </w:rPr>
      </w:pPr>
      <w:r>
        <w:rPr>
          <w:rFonts w:ascii="Times New Roman" w:hAnsi="Times New Roman"/>
          <w:color w:val="auto"/>
        </w:rPr>
        <w:t>To evaluate the accuracy of the prediction model more rigorously, the forecasting performance of the two models is compared by the Diebold-Mariano test. The zero hypothesis,1, means that the observed differences between the performance of two forecasting models is not significant, while the alternative hypothesis,2, means that the observed differences between the performance of two forecasting models is significant.</w:t>
      </w:r>
    </w:p>
    <w:p w14:paraId="6935E60F">
      <w:pPr>
        <w:pStyle w:val="103"/>
        <w:spacing w:line="360" w:lineRule="auto"/>
        <w:rPr>
          <w:rFonts w:ascii="Times New Roman" w:hAnsi="Times New Roman" w:cs="Times New Roman"/>
          <w:color w:val="auto"/>
          <w:sz w:val="20"/>
          <w:szCs w:val="20"/>
        </w:rPr>
      </w:pPr>
      <w:r>
        <w:rPr>
          <w:rFonts w:ascii="Times New Roman" w:hAnsi="Times New Roman" w:eastAsia="Batang" w:cs="Times New Roman"/>
          <w:color w:val="auto"/>
          <w:sz w:val="20"/>
          <w:szCs w:val="20"/>
        </w:rPr>
        <w:t>Table 4. Diebold-Mariano test</w:t>
      </w:r>
    </w:p>
    <w:tbl>
      <w:tblPr>
        <w:tblStyle w:val="14"/>
        <w:tblW w:w="0" w:type="auto"/>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15" w:type="dxa"/>
          <w:left w:w="15" w:type="dxa"/>
          <w:bottom w:w="15" w:type="dxa"/>
          <w:right w:w="15" w:type="dxa"/>
        </w:tblCellMar>
      </w:tblPr>
      <w:tblGrid>
        <w:gridCol w:w="2091"/>
        <w:gridCol w:w="2091"/>
        <w:gridCol w:w="2091"/>
        <w:gridCol w:w="2091"/>
        <w:gridCol w:w="2091"/>
      </w:tblGrid>
      <w:tr w14:paraId="3A6E826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rHeight w:val="204" w:hRule="atLeast"/>
        </w:trPr>
        <w:tc>
          <w:tcPr>
            <w:tcW w:w="2091" w:type="dxa"/>
            <w:tcBorders>
              <w:top w:val="thinThickSmallGap" w:color="000000" w:sz="12" w:space="0"/>
              <w:left w:val="nil"/>
              <w:bottom w:val="single" w:color="000000" w:sz="4" w:space="0"/>
              <w:right w:val="nil"/>
            </w:tcBorders>
            <w:tcMar>
              <w:top w:w="28" w:type="dxa"/>
              <w:left w:w="102" w:type="dxa"/>
              <w:bottom w:w="28" w:type="dxa"/>
              <w:right w:w="102" w:type="dxa"/>
            </w:tcMar>
            <w:vAlign w:val="center"/>
          </w:tcPr>
          <w:p w14:paraId="02A93EE3">
            <w:pPr>
              <w:widowControl w:val="0"/>
              <w:autoSpaceDE w:val="0"/>
              <w:autoSpaceDN w:val="0"/>
              <w:spacing w:line="360" w:lineRule="auto"/>
              <w:jc w:val="center"/>
              <w:textAlignment w:val="center"/>
              <w:rPr>
                <w:rFonts w:ascii="Times New Roman" w:hAnsi="Times New Roman"/>
                <w:color w:val="auto"/>
                <w:sz w:val="16"/>
                <w:szCs w:val="16"/>
              </w:rPr>
            </w:pPr>
            <w:r>
              <w:rPr>
                <w:rFonts w:ascii="Times New Roman" w:hAnsi="Times New Roman"/>
                <w:color w:val="auto"/>
              </w:rPr>
              <w:t>　</w:t>
            </w:r>
          </w:p>
        </w:tc>
        <w:tc>
          <w:tcPr>
            <w:tcW w:w="2091" w:type="dxa"/>
            <w:tcBorders>
              <w:top w:val="thinThickSmallGap" w:color="000000" w:sz="12" w:space="0"/>
              <w:left w:val="nil"/>
              <w:bottom w:val="single" w:color="000000" w:sz="4" w:space="0"/>
              <w:right w:val="nil"/>
            </w:tcBorders>
            <w:tcMar>
              <w:top w:w="28" w:type="dxa"/>
              <w:left w:w="102" w:type="dxa"/>
              <w:bottom w:w="28" w:type="dxa"/>
              <w:right w:w="102" w:type="dxa"/>
            </w:tcMar>
            <w:vAlign w:val="center"/>
          </w:tcPr>
          <w:p w14:paraId="31DE395F">
            <w:pPr>
              <w:widowControl w:val="0"/>
              <w:autoSpaceDE w:val="0"/>
              <w:autoSpaceDN w:val="0"/>
              <w:spacing w:line="360" w:lineRule="auto"/>
              <w:jc w:val="center"/>
              <w:textAlignment w:val="center"/>
              <w:rPr>
                <w:rFonts w:ascii="Times New Roman" w:hAnsi="Times New Roman"/>
                <w:color w:val="auto"/>
                <w:sz w:val="16"/>
                <w:szCs w:val="16"/>
              </w:rPr>
            </w:pPr>
            <w:r>
              <w:rPr>
                <w:rFonts w:ascii="Times New Roman" w:hAnsi="Times New Roman"/>
                <w:color w:val="auto"/>
              </w:rPr>
              <w:t>Overall MI</w:t>
            </w:r>
          </w:p>
        </w:tc>
        <w:tc>
          <w:tcPr>
            <w:tcW w:w="2091" w:type="dxa"/>
            <w:tcBorders>
              <w:top w:val="thinThickSmallGap" w:color="000000" w:sz="12" w:space="0"/>
              <w:left w:val="nil"/>
              <w:bottom w:val="single" w:color="000000" w:sz="4" w:space="0"/>
              <w:right w:val="nil"/>
            </w:tcBorders>
            <w:tcMar>
              <w:top w:w="28" w:type="dxa"/>
              <w:left w:w="102" w:type="dxa"/>
              <w:bottom w:w="28" w:type="dxa"/>
              <w:right w:w="102" w:type="dxa"/>
            </w:tcMar>
            <w:vAlign w:val="center"/>
          </w:tcPr>
          <w:p w14:paraId="354BC01D">
            <w:pPr>
              <w:widowControl w:val="0"/>
              <w:autoSpaceDE w:val="0"/>
              <w:autoSpaceDN w:val="0"/>
              <w:spacing w:line="360" w:lineRule="auto"/>
              <w:jc w:val="center"/>
              <w:textAlignment w:val="center"/>
              <w:rPr>
                <w:rFonts w:ascii="Times New Roman" w:hAnsi="Times New Roman"/>
                <w:color w:val="auto"/>
                <w:sz w:val="16"/>
                <w:szCs w:val="16"/>
              </w:rPr>
            </w:pPr>
            <w:r>
              <w:rPr>
                <w:rFonts w:ascii="Times New Roman" w:hAnsi="Times New Roman"/>
                <w:color w:val="auto"/>
              </w:rPr>
              <w:t>Overall CM</w:t>
            </w:r>
          </w:p>
        </w:tc>
        <w:tc>
          <w:tcPr>
            <w:tcW w:w="2091" w:type="dxa"/>
            <w:tcBorders>
              <w:top w:val="thinThickSmallGap" w:color="000000" w:sz="12" w:space="0"/>
              <w:left w:val="nil"/>
              <w:bottom w:val="single" w:color="000000" w:sz="4" w:space="0"/>
              <w:right w:val="nil"/>
            </w:tcBorders>
            <w:tcMar>
              <w:top w:w="28" w:type="dxa"/>
              <w:left w:w="102" w:type="dxa"/>
              <w:bottom w:w="28" w:type="dxa"/>
              <w:right w:w="102" w:type="dxa"/>
            </w:tcMar>
            <w:vAlign w:val="center"/>
          </w:tcPr>
          <w:p w14:paraId="3615F7C5">
            <w:pPr>
              <w:widowControl w:val="0"/>
              <w:autoSpaceDE w:val="0"/>
              <w:autoSpaceDN w:val="0"/>
              <w:spacing w:line="360" w:lineRule="auto"/>
              <w:jc w:val="center"/>
              <w:textAlignment w:val="center"/>
              <w:rPr>
                <w:rFonts w:ascii="Times New Roman" w:hAnsi="Times New Roman"/>
                <w:color w:val="auto"/>
                <w:sz w:val="16"/>
                <w:szCs w:val="16"/>
              </w:rPr>
            </w:pPr>
            <w:r>
              <w:rPr>
                <w:rFonts w:ascii="Times New Roman" w:hAnsi="Times New Roman"/>
                <w:color w:val="auto"/>
              </w:rPr>
              <w:t>51DMU MI</w:t>
            </w:r>
          </w:p>
        </w:tc>
        <w:tc>
          <w:tcPr>
            <w:tcW w:w="2091" w:type="dxa"/>
            <w:tcBorders>
              <w:top w:val="thinThickSmallGap" w:color="000000" w:sz="12" w:space="0"/>
              <w:left w:val="nil"/>
              <w:bottom w:val="single" w:color="000000" w:sz="4" w:space="0"/>
              <w:right w:val="nil"/>
            </w:tcBorders>
            <w:tcMar>
              <w:top w:w="28" w:type="dxa"/>
              <w:left w:w="102" w:type="dxa"/>
              <w:bottom w:w="28" w:type="dxa"/>
              <w:right w:w="102" w:type="dxa"/>
            </w:tcMar>
            <w:vAlign w:val="center"/>
          </w:tcPr>
          <w:p w14:paraId="03CF153D">
            <w:pPr>
              <w:widowControl w:val="0"/>
              <w:autoSpaceDE w:val="0"/>
              <w:autoSpaceDN w:val="0"/>
              <w:spacing w:line="360" w:lineRule="auto"/>
              <w:jc w:val="center"/>
              <w:textAlignment w:val="center"/>
              <w:rPr>
                <w:rFonts w:ascii="Times New Roman" w:hAnsi="Times New Roman"/>
                <w:color w:val="auto"/>
                <w:sz w:val="16"/>
                <w:szCs w:val="16"/>
              </w:rPr>
            </w:pPr>
            <w:r>
              <w:rPr>
                <w:rFonts w:ascii="Times New Roman" w:hAnsi="Times New Roman"/>
                <w:color w:val="auto"/>
              </w:rPr>
              <w:t>51DMU CM</w:t>
            </w:r>
          </w:p>
        </w:tc>
      </w:tr>
      <w:tr w14:paraId="1066A80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rHeight w:val="204" w:hRule="atLeast"/>
        </w:trPr>
        <w:tc>
          <w:tcPr>
            <w:tcW w:w="2091" w:type="dxa"/>
            <w:tcBorders>
              <w:top w:val="single" w:color="000000" w:sz="4" w:space="0"/>
              <w:left w:val="nil"/>
              <w:bottom w:val="nil"/>
              <w:right w:val="nil"/>
            </w:tcBorders>
            <w:tcMar>
              <w:top w:w="28" w:type="dxa"/>
              <w:left w:w="102" w:type="dxa"/>
              <w:bottom w:w="28" w:type="dxa"/>
              <w:right w:w="102" w:type="dxa"/>
            </w:tcMar>
            <w:vAlign w:val="center"/>
          </w:tcPr>
          <w:p w14:paraId="3C8C8613">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DM-SE</w:t>
            </w:r>
          </w:p>
        </w:tc>
        <w:tc>
          <w:tcPr>
            <w:tcW w:w="2091" w:type="dxa"/>
            <w:tcBorders>
              <w:top w:val="single" w:color="000000" w:sz="4" w:space="0"/>
              <w:left w:val="nil"/>
              <w:bottom w:val="nil"/>
              <w:right w:val="nil"/>
            </w:tcBorders>
            <w:tcMar>
              <w:top w:w="28" w:type="dxa"/>
              <w:left w:w="102" w:type="dxa"/>
              <w:bottom w:w="28" w:type="dxa"/>
              <w:right w:w="102" w:type="dxa"/>
            </w:tcMar>
            <w:vAlign w:val="center"/>
          </w:tcPr>
          <w:p w14:paraId="760061A3">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0.739</w:t>
            </w:r>
          </w:p>
        </w:tc>
        <w:tc>
          <w:tcPr>
            <w:tcW w:w="2091" w:type="dxa"/>
            <w:tcBorders>
              <w:top w:val="single" w:color="000000" w:sz="4" w:space="0"/>
              <w:left w:val="nil"/>
              <w:bottom w:val="nil"/>
              <w:right w:val="nil"/>
            </w:tcBorders>
            <w:tcMar>
              <w:top w:w="28" w:type="dxa"/>
              <w:left w:w="102" w:type="dxa"/>
              <w:bottom w:w="28" w:type="dxa"/>
              <w:right w:w="102" w:type="dxa"/>
            </w:tcMar>
            <w:vAlign w:val="center"/>
          </w:tcPr>
          <w:p w14:paraId="07AEA926">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-1.618</w:t>
            </w:r>
          </w:p>
        </w:tc>
        <w:tc>
          <w:tcPr>
            <w:tcW w:w="2091" w:type="dxa"/>
            <w:tcBorders>
              <w:top w:val="single" w:color="000000" w:sz="4" w:space="0"/>
              <w:left w:val="nil"/>
              <w:bottom w:val="nil"/>
              <w:right w:val="nil"/>
            </w:tcBorders>
            <w:tcMar>
              <w:top w:w="28" w:type="dxa"/>
              <w:left w:w="102" w:type="dxa"/>
              <w:bottom w:w="28" w:type="dxa"/>
              <w:right w:w="102" w:type="dxa"/>
            </w:tcMar>
            <w:vAlign w:val="center"/>
          </w:tcPr>
          <w:p w14:paraId="529BBEE4">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0.52</w:t>
            </w:r>
          </w:p>
        </w:tc>
        <w:tc>
          <w:tcPr>
            <w:tcW w:w="2091" w:type="dxa"/>
            <w:tcBorders>
              <w:top w:val="single" w:color="000000" w:sz="4" w:space="0"/>
              <w:left w:val="nil"/>
              <w:bottom w:val="nil"/>
              <w:right w:val="nil"/>
            </w:tcBorders>
            <w:tcMar>
              <w:top w:w="28" w:type="dxa"/>
              <w:left w:w="102" w:type="dxa"/>
              <w:bottom w:w="28" w:type="dxa"/>
              <w:right w:w="102" w:type="dxa"/>
            </w:tcMar>
            <w:vAlign w:val="center"/>
          </w:tcPr>
          <w:p w14:paraId="3BF7117C">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0.568</w:t>
            </w:r>
          </w:p>
        </w:tc>
      </w:tr>
      <w:tr w14:paraId="451E1E3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rHeight w:val="204" w:hRule="atLeast"/>
        </w:trPr>
        <w:tc>
          <w:tcPr>
            <w:tcW w:w="2091" w:type="dxa"/>
            <w:tcBorders>
              <w:top w:val="nil"/>
              <w:left w:val="nil"/>
              <w:bottom w:val="nil"/>
              <w:right w:val="nil"/>
            </w:tcBorders>
            <w:tcMar>
              <w:top w:w="28" w:type="dxa"/>
              <w:left w:w="102" w:type="dxa"/>
              <w:bottom w:w="28" w:type="dxa"/>
              <w:right w:w="102" w:type="dxa"/>
            </w:tcMar>
            <w:vAlign w:val="center"/>
          </w:tcPr>
          <w:p w14:paraId="4D48D02F">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P-value</w:t>
            </w:r>
          </w:p>
        </w:tc>
        <w:tc>
          <w:tcPr>
            <w:tcW w:w="2091" w:type="dxa"/>
            <w:tcBorders>
              <w:top w:val="nil"/>
              <w:left w:val="nil"/>
              <w:bottom w:val="nil"/>
              <w:right w:val="nil"/>
            </w:tcBorders>
            <w:tcMar>
              <w:top w:w="28" w:type="dxa"/>
              <w:left w:w="102" w:type="dxa"/>
              <w:bottom w:w="28" w:type="dxa"/>
              <w:right w:w="102" w:type="dxa"/>
            </w:tcMar>
            <w:vAlign w:val="center"/>
          </w:tcPr>
          <w:p w14:paraId="7D678B63">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0.46</w:t>
            </w:r>
          </w:p>
        </w:tc>
        <w:tc>
          <w:tcPr>
            <w:tcW w:w="2091" w:type="dxa"/>
            <w:tcBorders>
              <w:top w:val="nil"/>
              <w:left w:val="nil"/>
              <w:bottom w:val="nil"/>
              <w:right w:val="nil"/>
            </w:tcBorders>
            <w:tcMar>
              <w:top w:w="28" w:type="dxa"/>
              <w:left w:w="102" w:type="dxa"/>
              <w:bottom w:w="28" w:type="dxa"/>
              <w:right w:w="102" w:type="dxa"/>
            </w:tcMar>
            <w:vAlign w:val="center"/>
          </w:tcPr>
          <w:p w14:paraId="085B5FE3">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1.894</w:t>
            </w:r>
          </w:p>
        </w:tc>
        <w:tc>
          <w:tcPr>
            <w:tcW w:w="2091" w:type="dxa"/>
            <w:tcBorders>
              <w:top w:val="nil"/>
              <w:left w:val="nil"/>
              <w:bottom w:val="nil"/>
              <w:right w:val="nil"/>
            </w:tcBorders>
            <w:tcMar>
              <w:top w:w="28" w:type="dxa"/>
              <w:left w:w="102" w:type="dxa"/>
              <w:bottom w:w="28" w:type="dxa"/>
              <w:right w:w="102" w:type="dxa"/>
            </w:tcMar>
            <w:vAlign w:val="center"/>
          </w:tcPr>
          <w:p w14:paraId="347A31F3">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0.603</w:t>
            </w:r>
          </w:p>
        </w:tc>
        <w:tc>
          <w:tcPr>
            <w:tcW w:w="2091" w:type="dxa"/>
            <w:tcBorders>
              <w:top w:val="nil"/>
              <w:left w:val="nil"/>
              <w:bottom w:val="nil"/>
              <w:right w:val="nil"/>
            </w:tcBorders>
            <w:tcMar>
              <w:top w:w="28" w:type="dxa"/>
              <w:left w:w="102" w:type="dxa"/>
              <w:bottom w:w="28" w:type="dxa"/>
              <w:right w:w="102" w:type="dxa"/>
            </w:tcMar>
            <w:vAlign w:val="center"/>
          </w:tcPr>
          <w:p w14:paraId="4EDB10BE">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0.57</w:t>
            </w:r>
          </w:p>
        </w:tc>
      </w:tr>
      <w:tr w14:paraId="2E6F4A0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rHeight w:val="204" w:hRule="atLeast"/>
        </w:trPr>
        <w:tc>
          <w:tcPr>
            <w:tcW w:w="2091" w:type="dxa"/>
            <w:tcBorders>
              <w:top w:val="nil"/>
              <w:left w:val="nil"/>
              <w:bottom w:val="nil"/>
              <w:right w:val="nil"/>
            </w:tcBorders>
            <w:tcMar>
              <w:top w:w="28" w:type="dxa"/>
              <w:left w:w="102" w:type="dxa"/>
              <w:bottom w:w="28" w:type="dxa"/>
              <w:right w:w="102" w:type="dxa"/>
            </w:tcMar>
            <w:vAlign w:val="center"/>
          </w:tcPr>
          <w:p w14:paraId="2F7A11FA">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DM-AE</w:t>
            </w:r>
          </w:p>
        </w:tc>
        <w:tc>
          <w:tcPr>
            <w:tcW w:w="2091" w:type="dxa"/>
            <w:tcBorders>
              <w:top w:val="nil"/>
              <w:left w:val="nil"/>
              <w:bottom w:val="nil"/>
              <w:right w:val="nil"/>
            </w:tcBorders>
            <w:tcMar>
              <w:top w:w="28" w:type="dxa"/>
              <w:left w:w="102" w:type="dxa"/>
              <w:bottom w:w="28" w:type="dxa"/>
              <w:right w:w="102" w:type="dxa"/>
            </w:tcMar>
            <w:vAlign w:val="center"/>
          </w:tcPr>
          <w:p w14:paraId="7910702B">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0.745</w:t>
            </w:r>
          </w:p>
        </w:tc>
        <w:tc>
          <w:tcPr>
            <w:tcW w:w="2091" w:type="dxa"/>
            <w:tcBorders>
              <w:top w:val="nil"/>
              <w:left w:val="nil"/>
              <w:bottom w:val="nil"/>
              <w:right w:val="nil"/>
            </w:tcBorders>
            <w:tcMar>
              <w:top w:w="28" w:type="dxa"/>
              <w:left w:w="102" w:type="dxa"/>
              <w:bottom w:w="28" w:type="dxa"/>
              <w:right w:w="102" w:type="dxa"/>
            </w:tcMar>
            <w:vAlign w:val="center"/>
          </w:tcPr>
          <w:p w14:paraId="06AC2559">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-0.362</w:t>
            </w:r>
          </w:p>
        </w:tc>
        <w:tc>
          <w:tcPr>
            <w:tcW w:w="2091" w:type="dxa"/>
            <w:tcBorders>
              <w:top w:val="nil"/>
              <w:left w:val="nil"/>
              <w:bottom w:val="nil"/>
              <w:right w:val="nil"/>
            </w:tcBorders>
            <w:tcMar>
              <w:top w:w="28" w:type="dxa"/>
              <w:left w:w="102" w:type="dxa"/>
              <w:bottom w:w="28" w:type="dxa"/>
              <w:right w:w="102" w:type="dxa"/>
            </w:tcMar>
            <w:vAlign w:val="center"/>
          </w:tcPr>
          <w:p w14:paraId="15218766">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-0.029</w:t>
            </w:r>
          </w:p>
        </w:tc>
        <w:tc>
          <w:tcPr>
            <w:tcW w:w="2091" w:type="dxa"/>
            <w:tcBorders>
              <w:top w:val="nil"/>
              <w:left w:val="nil"/>
              <w:bottom w:val="nil"/>
              <w:right w:val="nil"/>
            </w:tcBorders>
            <w:tcMar>
              <w:top w:w="28" w:type="dxa"/>
              <w:left w:w="102" w:type="dxa"/>
              <w:bottom w:w="28" w:type="dxa"/>
              <w:right w:w="102" w:type="dxa"/>
            </w:tcMar>
            <w:vAlign w:val="center"/>
          </w:tcPr>
          <w:p w14:paraId="42541325">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0.24</w:t>
            </w:r>
          </w:p>
        </w:tc>
      </w:tr>
      <w:tr w14:paraId="3AF1C6E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rHeight w:val="204" w:hRule="atLeast"/>
        </w:trPr>
        <w:tc>
          <w:tcPr>
            <w:tcW w:w="2091" w:type="dxa"/>
            <w:tcBorders>
              <w:top w:val="nil"/>
              <w:left w:val="nil"/>
              <w:bottom w:val="thickThinSmallGap" w:color="000000" w:sz="12" w:space="0"/>
              <w:right w:val="nil"/>
            </w:tcBorders>
            <w:tcMar>
              <w:top w:w="28" w:type="dxa"/>
              <w:left w:w="102" w:type="dxa"/>
              <w:bottom w:w="28" w:type="dxa"/>
              <w:right w:w="102" w:type="dxa"/>
            </w:tcMar>
            <w:vAlign w:val="center"/>
          </w:tcPr>
          <w:p w14:paraId="7E77FBB4">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P-value</w:t>
            </w:r>
          </w:p>
        </w:tc>
        <w:tc>
          <w:tcPr>
            <w:tcW w:w="2091" w:type="dxa"/>
            <w:tcBorders>
              <w:top w:val="nil"/>
              <w:left w:val="nil"/>
              <w:bottom w:val="thickThinSmallGap" w:color="000000" w:sz="12" w:space="0"/>
              <w:right w:val="nil"/>
            </w:tcBorders>
            <w:tcMar>
              <w:top w:w="28" w:type="dxa"/>
              <w:left w:w="102" w:type="dxa"/>
              <w:bottom w:w="28" w:type="dxa"/>
              <w:right w:w="102" w:type="dxa"/>
            </w:tcMar>
            <w:vAlign w:val="center"/>
          </w:tcPr>
          <w:p w14:paraId="5C0030AF">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0.456</w:t>
            </w:r>
          </w:p>
        </w:tc>
        <w:tc>
          <w:tcPr>
            <w:tcW w:w="2091" w:type="dxa"/>
            <w:tcBorders>
              <w:top w:val="nil"/>
              <w:left w:val="nil"/>
              <w:bottom w:val="thickThinSmallGap" w:color="000000" w:sz="12" w:space="0"/>
              <w:right w:val="nil"/>
            </w:tcBorders>
            <w:tcMar>
              <w:top w:w="28" w:type="dxa"/>
              <w:left w:w="102" w:type="dxa"/>
              <w:bottom w:w="28" w:type="dxa"/>
              <w:right w:w="102" w:type="dxa"/>
            </w:tcMar>
            <w:vAlign w:val="center"/>
          </w:tcPr>
          <w:p w14:paraId="0E589300">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1.283</w:t>
            </w:r>
          </w:p>
        </w:tc>
        <w:tc>
          <w:tcPr>
            <w:tcW w:w="2091" w:type="dxa"/>
            <w:tcBorders>
              <w:top w:val="nil"/>
              <w:left w:val="nil"/>
              <w:bottom w:val="thickThinSmallGap" w:color="000000" w:sz="12" w:space="0"/>
              <w:right w:val="nil"/>
            </w:tcBorders>
            <w:tcMar>
              <w:top w:w="28" w:type="dxa"/>
              <w:left w:w="102" w:type="dxa"/>
              <w:bottom w:w="28" w:type="dxa"/>
              <w:right w:w="102" w:type="dxa"/>
            </w:tcMar>
            <w:vAlign w:val="center"/>
          </w:tcPr>
          <w:p w14:paraId="770C3047">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1.023</w:t>
            </w:r>
          </w:p>
        </w:tc>
        <w:tc>
          <w:tcPr>
            <w:tcW w:w="2091" w:type="dxa"/>
            <w:tcBorders>
              <w:top w:val="nil"/>
              <w:left w:val="nil"/>
              <w:bottom w:val="thickThinSmallGap" w:color="000000" w:sz="12" w:space="0"/>
              <w:right w:val="nil"/>
            </w:tcBorders>
            <w:tcMar>
              <w:top w:w="28" w:type="dxa"/>
              <w:left w:w="102" w:type="dxa"/>
              <w:bottom w:w="28" w:type="dxa"/>
              <w:right w:w="102" w:type="dxa"/>
            </w:tcMar>
            <w:vAlign w:val="center"/>
          </w:tcPr>
          <w:p w14:paraId="29A5065C">
            <w:pPr>
              <w:widowControl w:val="0"/>
              <w:autoSpaceDE w:val="0"/>
              <w:autoSpaceDN w:val="0"/>
              <w:spacing w:line="360" w:lineRule="auto"/>
              <w:jc w:val="center"/>
              <w:textAlignment w:val="center"/>
              <w:rPr>
                <w:rFonts w:ascii="Times New Roman" w:hAnsi="Times New Roman"/>
                <w:color w:val="auto"/>
                <w:sz w:val="22"/>
                <w:szCs w:val="22"/>
              </w:rPr>
            </w:pPr>
            <w:r>
              <w:rPr>
                <w:rFonts w:ascii="Times New Roman" w:hAnsi="Times New Roman"/>
                <w:color w:val="auto"/>
              </w:rPr>
              <w:t>0.81</w:t>
            </w:r>
          </w:p>
        </w:tc>
      </w:tr>
    </w:tbl>
    <w:p w14:paraId="7256DF5A">
      <w:pPr>
        <w:pStyle w:val="88"/>
        <w:tabs>
          <w:tab w:val="left" w:pos="800"/>
          <w:tab w:val="right" w:pos="7936"/>
        </w:tabs>
        <w:snapToGrid w:val="0"/>
        <w:spacing w:line="360" w:lineRule="auto"/>
        <w:ind w:left="554" w:hanging="554"/>
        <w:rPr>
          <w:rFonts w:ascii="Times New Roman" w:hAnsi="Times New Roman" w:cs="Times New Roman"/>
          <w:color w:val="auto"/>
        </w:rPr>
      </w:pPr>
      <w:r>
        <w:rPr>
          <w:rFonts w:ascii="Times New Roman" w:hAnsi="Times New Roman" w:eastAsia="Batang" w:cs="Times New Roman"/>
          <w:color w:val="auto"/>
          <w:sz w:val="18"/>
          <w:szCs w:val="18"/>
        </w:rPr>
        <w:t xml:space="preserve">Notes: DM-SE denotes the DM test statistic based on squared-error loss; DM-AE denotes the DM test statistic based on absolute-error loss. </w:t>
      </w:r>
    </w:p>
    <w:p w14:paraId="35F90C3E">
      <w:pPr>
        <w:pStyle w:val="35"/>
        <w:spacing w:line="360" w:lineRule="auto"/>
        <w:ind w:left="0"/>
        <w:rPr>
          <w:rFonts w:ascii="Times New Roman" w:hAnsi="Times New Roman"/>
          <w:color w:val="auto"/>
        </w:rPr>
      </w:pPr>
      <w:r>
        <w:rPr>
          <w:rFonts w:ascii="Times New Roman" w:hAnsi="Times New Roman"/>
          <w:color w:val="auto"/>
        </w:rPr>
        <w:t>According to the results of Diebold-Mariano test in Table 4, it can be seen that all the p-values are greater than 0.05, so the zero hypothesis cannot be rejected and there is no difference in the prediction performance of the two models for time-series date sets, which means that both models are highly accurate in predicting the TFP index from a statistical perspective. In conjunction with traditional indicators, this paper will discuss the reasons for future productivity changes in the discussion of results.</w:t>
      </w:r>
    </w:p>
    <w:p w14:paraId="77F7D149">
      <w:pPr>
        <w:pStyle w:val="35"/>
        <w:spacing w:line="360" w:lineRule="auto"/>
        <w:ind w:left="0"/>
        <w:rPr>
          <w:rFonts w:ascii="Times New Roman" w:hAnsi="Times New Roman"/>
          <w:color w:val="auto"/>
        </w:rPr>
      </w:pPr>
      <w:r>
        <w:rPr>
          <w:rFonts w:ascii="Times New Roman" w:hAnsi="Times New Roman"/>
          <w:color w:val="auto"/>
        </w:rPr>
        <w:t>The prediction results make it easy for business decision makers to maintain or adjust business inputs and costs. For such case studies, it is of particular importance for relevant researchers and practitioners to understand the model and implement the computation, the productivity indices of other industries can be predicted by referring to the prediction model proposed in this study. It is only necessary to input the historical annual productivity index values into MATLAB software and adjust the appropriate parameters by referring to the code in the appendix to predict the productivity status of other industries and companies.</w:t>
      </w:r>
    </w:p>
    <w:p w14:paraId="44285C95">
      <w:pPr>
        <w:pStyle w:val="50"/>
        <w:spacing w:line="360" w:lineRule="auto"/>
        <w:ind w:left="0"/>
        <w:rPr>
          <w:rFonts w:ascii="Times New Roman" w:hAnsi="Times New Roman"/>
          <w:color w:val="auto"/>
        </w:rPr>
      </w:pPr>
      <w:r>
        <w:rPr>
          <w:rFonts w:ascii="Times New Roman" w:hAnsi="Times New Roman"/>
          <w:color w:val="auto"/>
        </w:rPr>
        <w:t>5. Discussion and implications</w:t>
      </w:r>
    </w:p>
    <w:p w14:paraId="15482113">
      <w:pPr>
        <w:pStyle w:val="51"/>
        <w:spacing w:before="240" w:line="360" w:lineRule="auto"/>
        <w:ind w:left="0"/>
        <w:rPr>
          <w:rFonts w:ascii="Times New Roman" w:hAnsi="Times New Roman"/>
          <w:color w:val="auto"/>
        </w:rPr>
      </w:pPr>
      <w:r>
        <w:rPr>
          <w:rFonts w:ascii="Times New Roman" w:hAnsi="Times New Roman"/>
          <w:color w:val="auto"/>
        </w:rPr>
        <w:t>5.1. Discussion of results</w:t>
      </w:r>
    </w:p>
    <w:p w14:paraId="4E735C6B">
      <w:pPr>
        <w:pStyle w:val="35"/>
        <w:spacing w:line="360" w:lineRule="auto"/>
        <w:ind w:left="0"/>
        <w:rPr>
          <w:rFonts w:ascii="Times New Roman" w:hAnsi="Times New Roman"/>
          <w:color w:val="auto"/>
        </w:rPr>
      </w:pPr>
      <w:r>
        <w:rPr>
          <w:rFonts w:ascii="Times New Roman" w:hAnsi="Times New Roman"/>
          <w:color w:val="auto"/>
        </w:rPr>
        <w:t>The evaluation results of this study show that the TFP of overall sample retail companies in China is increasing from 2007 to 2025, with the growth mainly coming from technological progress and scale efficiency. The results of Lei (2013) study suggest that the increase in TFP of listed companies in China's retail industry from 2001 to 2011 mainly came from changes in technical efficiency, which is different from the results of this study and may indicate that the development pattern of China's retail industry is changing and the source of productivity growth is shifting from technical efficiency to improvements in scale efficiency[38]. However, the difference in results may also be due to the consideration of environmental factors. This study used SFA regression to exclude the effects of environmental factors and random errors, which yielded more objective results, while Lei's study did not consider the effects of environmental factors and random errors, although both studies used similar samples and the same DEA Malmquist index method.</w:t>
      </w:r>
    </w:p>
    <w:p w14:paraId="3AAD5B4C">
      <w:pPr>
        <w:pStyle w:val="35"/>
        <w:spacing w:line="360" w:lineRule="auto"/>
        <w:ind w:left="0"/>
        <w:rPr>
          <w:rFonts w:ascii="Times New Roman" w:hAnsi="Times New Roman"/>
          <w:color w:val="auto"/>
        </w:rPr>
      </w:pPr>
      <w:r>
        <w:rPr>
          <w:rFonts w:ascii="Times New Roman" w:hAnsi="Times New Roman"/>
          <w:color w:val="auto"/>
        </w:rPr>
        <w:t>This discussion section no longer focuses on the design of the model, but on the reasons for the rise and fall in productivity in the predicted results. For the prediction of MI index, the two neural network models selected in this paper predict that the MI index will be less than 1 in the next three years (2026-2028). However, the more accurate BP model predicts that the MI value in 2026 and 2028 may be less than 0.6, which means that the overall productivity will continue to decline in the next three years (2026-2028) and is likely to decline significantly in 2022 and 2024. The future decrease in productivity may be due to the recurrence of the epidemic, and in China's special environment, a large part of the business activities is restricted because of the epidemic. Although there has been a trend of opening up and resuming production and operations in many foreign countries and regions, it may take considerable time for China's import and export trade with the world to reply, and it may also take some time for China's retail page productivity to recover. At the macro policy level, the possible reasons are that some retail companies have responded positively to the "Guidance on Promoting the Accelerated Development of Branded Chain Convenience Stores" issued by the Ministry of Commerce, as well as the "Guidelines for the Establishment of Urban Quarter-Minute Convenience Living Circles", focusing on developing branded chain stores, increasing branded chain coverage, and developing smart community stores (e.g. unattended convenience stores and subsidized vending machines). It can be seen from the historical indices that the productivity of China's retail industry also has a gradual downward trend during the period of vigorous expansion of chain operation. During the expansion period, there is more investment and low rate of return. The low productivity in the next three years (2026-2028) may also be due to this chain expansion. Changing the brand expansion to encourage the original small supermarkets, grocery stores, food stores to join may improve the situation, on the one hand, will help companies to reduce the material and labor costs of expansion, on the other hand, will help to improve the overall quality of goods and services in the retail industry.</w:t>
      </w:r>
    </w:p>
    <w:p w14:paraId="27945810">
      <w:pPr>
        <w:pStyle w:val="35"/>
        <w:spacing w:line="360" w:lineRule="auto"/>
        <w:ind w:left="0"/>
        <w:rPr>
          <w:rFonts w:ascii="Times New Roman" w:hAnsi="Times New Roman"/>
          <w:color w:val="auto"/>
        </w:rPr>
      </w:pPr>
      <w:r>
        <w:rPr>
          <w:rFonts w:ascii="Times New Roman" w:hAnsi="Times New Roman"/>
          <w:color w:val="auto"/>
        </w:rPr>
        <w:t>The slowdown in overall productivity decline may come from the effect of domestic policies to boost domestic demand. After the epidemic began, the Chinese government realized that international trade was being blocked by logistics and that it was difficult to import and export goods, and that raising domestic market demand was the only way to revitalize the entire retail industry, issuing a series of policies to assist retail businesses, For example, in March 2020, China's Development and Reform Commission issued the "Implementation Opinions on Promoting the Expansion and Quality of Consumption to Accelerate the Formation of a Strong Domestic Market", specifically at the provincial and municipal levels, Zhejiang Province, in order to promote the quality and efficiency of e-commerce, to encourage new retail, cross-border e-commerce and other companies to open experience stores in villages and towns. Shanghai vigorously develops commercial retail, health care, family services, culture and creativity and other service industries to promote the quality and expansion of consumption. Hunan Province is vigorously developing smart supermarkets and smart stores in order to promote the development of new retail and expand contactless and contact less consumption models. These policies are indeed having an effect, and retail businesses will benefit from them over the next three years (2026-2028).</w:t>
      </w:r>
    </w:p>
    <w:p w14:paraId="78DA161E">
      <w:pPr>
        <w:pStyle w:val="35"/>
        <w:spacing w:line="360" w:lineRule="auto"/>
        <w:ind w:left="0"/>
        <w:rPr>
          <w:rFonts w:ascii="Times New Roman" w:hAnsi="Times New Roman"/>
          <w:color w:val="auto"/>
        </w:rPr>
      </w:pPr>
      <w:r>
        <w:rPr>
          <w:rFonts w:ascii="Times New Roman" w:hAnsi="Times New Roman"/>
          <w:color w:val="auto"/>
        </w:rPr>
        <w:t>The MI and CM indices in the forecast results show a significant increase in productivity for Yuyuan shares over the next two years, which may be due to the company's long-term development of its digital strategy. Digital transformation can contribute to TFP gains through improved innovation capabilities, optimized human capital structures, and cost reduction[81](Zhao Chenyu, 2021). The digitalization of Yuyuan JSC is reflected in three aspects: Internet business model, intelligent retailing, and modern information system. The online and offline channels laid out over the years have been highly integrated, and the smart retailing that began after the epidemic has begun to bear fruit, with modern information systems running through all aspects of retailing. Digital transformation significantly improves the operation of companies and increases TFP by reducing costs. The productivity decline in FY2024 in the forecast results indicates that the current stage of digital transformation, which brings limited productivity gains, will require more technological innovation and matching technological efficiency to avoid productivity declines in the future.</w:t>
      </w:r>
    </w:p>
    <w:p w14:paraId="691D0813">
      <w:pPr>
        <w:pStyle w:val="3"/>
        <w:spacing w:line="360" w:lineRule="auto"/>
        <w:rPr>
          <w:rFonts w:ascii="Times New Roman" w:hAnsi="Times New Roman"/>
          <w:b w:val="0"/>
          <w:bCs w:val="0"/>
          <w:i/>
          <w:iCs/>
          <w:color w:val="auto"/>
          <w:sz w:val="20"/>
          <w:szCs w:val="20"/>
        </w:rPr>
      </w:pPr>
      <w:bookmarkStart w:id="13" w:name="_Toc103106442"/>
      <w:r>
        <w:rPr>
          <w:rFonts w:ascii="Times New Roman" w:hAnsi="Times New Roman"/>
          <w:b w:val="0"/>
          <w:bCs w:val="0"/>
          <w:i/>
          <w:iCs/>
          <w:color w:val="auto"/>
          <w:sz w:val="20"/>
          <w:szCs w:val="20"/>
        </w:rPr>
        <w:t>5.2. Theoretical implications and managerial implications</w:t>
      </w:r>
      <w:bookmarkEnd w:id="13"/>
    </w:p>
    <w:p w14:paraId="6A267921">
      <w:pPr>
        <w:pStyle w:val="51"/>
        <w:spacing w:before="240" w:line="360" w:lineRule="auto"/>
        <w:ind w:left="0"/>
        <w:rPr>
          <w:rFonts w:ascii="Times New Roman" w:hAnsi="Times New Roman"/>
          <w:color w:val="auto"/>
        </w:rPr>
      </w:pPr>
      <w:r>
        <w:rPr>
          <w:rFonts w:ascii="Times New Roman" w:hAnsi="Times New Roman"/>
          <w:color w:val="auto"/>
        </w:rPr>
        <w:t>5.2.1. Theoretical implications</w:t>
      </w:r>
    </w:p>
    <w:p w14:paraId="6101E817">
      <w:pPr>
        <w:pStyle w:val="35"/>
        <w:spacing w:line="360" w:lineRule="auto"/>
        <w:ind w:left="0"/>
        <w:rPr>
          <w:rFonts w:ascii="Times New Roman" w:hAnsi="Times New Roman"/>
          <w:color w:val="auto"/>
        </w:rPr>
      </w:pPr>
      <w:r>
        <w:rPr>
          <w:rFonts w:ascii="Times New Roman" w:hAnsi="Times New Roman"/>
          <w:color w:val="auto"/>
        </w:rPr>
        <w:t>First, this article contributes to extend and improve DEA models for evaluating the efficiency of retail industry. The main models of DEA in the current research methods applied to the retail industry are the basic model[6,48] (Gandhi and Shankar, 2014; Mostafa, 2009), DEA-Malmquist index [45,46](Gupta and Mittal, 2010; Lei, 2018), two-stage DEA [4](Manuel Xavier et al., 2015), three-stage DEA [50,79] (Zhao, 2020; Sun Y M., 2018). Based on the development characteristics of retail industry in recent years, this article evaluates retail efficiency using three-stage DEA cost-Malmquist index. This model eliminates the influence of environmental factors and statistical noise and vertically reflects the changes of TFP in China's retail industry over the years, and the index decompositions more comprehensively show the reasons for efficiency changes, therefore, this study extend and improve DEA models for evaluating the efficiency of retail industry.</w:t>
      </w:r>
    </w:p>
    <w:p w14:paraId="213192EC">
      <w:pPr>
        <w:pStyle w:val="35"/>
        <w:spacing w:line="360" w:lineRule="auto"/>
        <w:ind w:left="0"/>
        <w:rPr>
          <w:rFonts w:ascii="Times New Roman" w:hAnsi="Times New Roman"/>
          <w:color w:val="auto"/>
        </w:rPr>
      </w:pPr>
      <w:r>
        <w:rPr>
          <w:rFonts w:ascii="Times New Roman" w:hAnsi="Times New Roman"/>
          <w:color w:val="auto"/>
        </w:rPr>
        <w:t xml:space="preserve">Second, this study expands on previous research in the retail industry and fills a research gap in the Chinese retail industry in recent years. Wang Xuhui (2009) applied Malmquist index to measure retail productivity growth </w:t>
      </w:r>
      <w:bookmarkStart w:id="14" w:name="_GoBack"/>
      <w:r>
        <w:rPr>
          <w:rFonts w:ascii="Times New Roman" w:hAnsi="Times New Roman"/>
          <w:color w:val="auto"/>
        </w:rPr>
        <w:t>in Chinese</w:t>
      </w:r>
      <w:bookmarkEnd w:id="14"/>
      <w:r>
        <w:rPr>
          <w:rFonts w:ascii="Times New Roman" w:hAnsi="Times New Roman"/>
          <w:color w:val="auto"/>
        </w:rPr>
        <w:t xml:space="preserve"> retail listed companies during 1998-2007 [82]. This article complements the results of the study by showing the productivity changes in the retail industry in China since the reform and opening up. The latest research on China's retail industry is limited to 2019 (Liang J F., 2021), and there is a gap in research on China's retail productivity in the midst of the COVID-19 pandemic, which is filled by this study[44].</w:t>
      </w:r>
    </w:p>
    <w:p w14:paraId="05DE360A">
      <w:pPr>
        <w:pStyle w:val="35"/>
        <w:spacing w:line="360" w:lineRule="auto"/>
        <w:ind w:left="0"/>
        <w:rPr>
          <w:rFonts w:ascii="Times New Roman" w:hAnsi="Times New Roman"/>
          <w:color w:val="auto"/>
        </w:rPr>
      </w:pPr>
      <w:r>
        <w:rPr>
          <w:rFonts w:ascii="Times New Roman" w:hAnsi="Times New Roman"/>
          <w:color w:val="auto"/>
        </w:rPr>
        <w:t>Finally, the prediction method validated by this study using a large sample of data contributes, in an impactful way, to the managerial process of decision making. DEA can only analyze the relative efficiency of a DMU but cannot predict any future trend about the performance of DMUs.</w:t>
      </w:r>
    </w:p>
    <w:p w14:paraId="38CBC9FE">
      <w:pPr>
        <w:pStyle w:val="35"/>
        <w:spacing w:line="360" w:lineRule="auto"/>
        <w:ind w:left="0"/>
        <w:rPr>
          <w:rFonts w:ascii="Times New Roman" w:hAnsi="Times New Roman"/>
          <w:color w:val="auto"/>
        </w:rPr>
      </w:pPr>
    </w:p>
    <w:p w14:paraId="7D10DD20">
      <w:pPr>
        <w:pStyle w:val="35"/>
        <w:spacing w:line="360" w:lineRule="auto"/>
        <w:ind w:left="0" w:firstLine="0"/>
        <w:rPr>
          <w:rFonts w:ascii="Times New Roman" w:hAnsi="Times New Roman"/>
          <w:i/>
          <w:iCs/>
          <w:color w:val="auto"/>
        </w:rPr>
      </w:pPr>
      <w:r>
        <w:rPr>
          <w:rFonts w:ascii="Times New Roman" w:hAnsi="Times New Roman"/>
          <w:i/>
          <w:iCs/>
          <w:color w:val="auto"/>
        </w:rPr>
        <w:t xml:space="preserve">5.2.2. Managerial implications </w:t>
      </w:r>
    </w:p>
    <w:p w14:paraId="0B001C40">
      <w:pPr>
        <w:pStyle w:val="35"/>
        <w:spacing w:line="360" w:lineRule="auto"/>
        <w:ind w:left="0"/>
        <w:rPr>
          <w:rFonts w:ascii="Times New Roman" w:hAnsi="Times New Roman"/>
          <w:color w:val="auto"/>
        </w:rPr>
      </w:pPr>
      <w:r>
        <w:rPr>
          <w:rFonts w:ascii="Times New Roman" w:hAnsi="Times New Roman"/>
          <w:color w:val="auto"/>
        </w:rPr>
        <w:t>This study first evaluates the change in TFP over 19 years for the sample as a whole, represented by sample retail companies, and secondly assesses the 51 companies at the company level. The contents of efficiency assessment include the change rate of TFP, technical progress change, pure technical efficiency change, scale efficiency change, allocation efficiency change, and price effect. The overall evaluation can reflect the effect of China's policy support for the retail industry on a macro level over the year. Based on the evaluation results, this paper suggests that the government should create a favorable external environment for the technological innovation of retail companies, not only by providing necessary financial support for common technologies such as commercial informatization and modern logistics construction, but also by establishing an open retail technology innovation service system to accelerate the diffusion of advanced retail technologies. Second, it should vigorously promote the planning and construction of urban commercial outlets to reduce the blindness of large-scale retail expansion, and to reduce vicious competition. The company-level efficiency evaluation results help optimize company-level resource allocation, operation strategy and in turn operation efficiency improvement.</w:t>
      </w:r>
    </w:p>
    <w:p w14:paraId="1E486E09">
      <w:pPr>
        <w:pStyle w:val="35"/>
        <w:spacing w:line="360" w:lineRule="auto"/>
        <w:ind w:left="0"/>
        <w:rPr>
          <w:rFonts w:ascii="Times New Roman" w:hAnsi="Times New Roman"/>
          <w:color w:val="auto"/>
        </w:rPr>
      </w:pPr>
      <w:r>
        <w:rPr>
          <w:rFonts w:ascii="Times New Roman" w:hAnsi="Times New Roman"/>
          <w:color w:val="auto"/>
        </w:rPr>
        <w:t>The evaluation results of the scale efficiency index show that the scale benefits brought by scale expansion in the form of mergers and acquisitions or own store chain expansion are not sustainable. Such expansion often carries some blindness, ignoring capital risks, integration of corporate culture after mergers and acquisitions, improper selection of regions leading to rising logistics costs, etc. Productivity growth should not simply rely on simple scale expansion, but should turn to technological progress and operational optimization.</w:t>
      </w:r>
    </w:p>
    <w:p w14:paraId="5BB21E3E">
      <w:pPr>
        <w:pStyle w:val="35"/>
        <w:spacing w:line="360" w:lineRule="auto"/>
        <w:ind w:left="0"/>
        <w:rPr>
          <w:rFonts w:ascii="Times New Roman" w:hAnsi="Times New Roman"/>
          <w:color w:val="auto"/>
        </w:rPr>
      </w:pPr>
      <w:r>
        <w:rPr>
          <w:rFonts w:ascii="Times New Roman" w:hAnsi="Times New Roman"/>
          <w:color w:val="auto"/>
        </w:rPr>
        <w:t>Technical efficiency changes are related to the efficiency of technology use, and the quality of labor has a significant impact on the efficiency of technology use. It is recommended that listed retail companies increase the proportion of highly qualified managers to help them make scientific decisions with the current level of technology, and also to improve the efficiency of resource allocation.</w:t>
      </w:r>
    </w:p>
    <w:p w14:paraId="5B3F1B98">
      <w:pPr>
        <w:pStyle w:val="35"/>
        <w:spacing w:line="360" w:lineRule="auto"/>
        <w:ind w:left="0"/>
        <w:rPr>
          <w:rFonts w:ascii="Times New Roman" w:hAnsi="Times New Roman"/>
          <w:color w:val="auto"/>
        </w:rPr>
      </w:pPr>
      <w:r>
        <w:rPr>
          <w:rFonts w:ascii="Times New Roman" w:hAnsi="Times New Roman"/>
          <w:color w:val="auto"/>
        </w:rPr>
        <w:t>The decomposition of cost-Malmquist model would help retail companies redefine and focus on key decision areas. Investigating such efficiency could help companies improve their allocation performance. If the allocation efficiency is not optimal, some stores might incur great lost sales and others might hold too many inventories.</w:t>
      </w:r>
    </w:p>
    <w:p w14:paraId="3FF4FAF6">
      <w:pPr>
        <w:pStyle w:val="35"/>
        <w:spacing w:line="360" w:lineRule="auto"/>
        <w:ind w:left="0"/>
        <w:rPr>
          <w:rFonts w:ascii="Times New Roman" w:hAnsi="Times New Roman"/>
          <w:color w:val="auto"/>
        </w:rPr>
      </w:pPr>
      <w:r>
        <w:rPr>
          <w:rFonts w:ascii="Times New Roman" w:hAnsi="Times New Roman"/>
          <w:color w:val="auto"/>
        </w:rPr>
        <w:t>The neural network model proposed in this paper can help companies predict future efficiency, and companies can identify reasons for the efficiency change, and develop strategy and investment plans accordingly.</w:t>
      </w:r>
    </w:p>
    <w:p w14:paraId="1B276D04">
      <w:pPr>
        <w:pStyle w:val="35"/>
        <w:spacing w:line="360" w:lineRule="auto"/>
        <w:ind w:left="0"/>
        <w:rPr>
          <w:rFonts w:ascii="Times New Roman" w:hAnsi="Times New Roman"/>
          <w:color w:val="auto"/>
        </w:rPr>
      </w:pPr>
    </w:p>
    <w:p w14:paraId="25C1B40F">
      <w:pPr>
        <w:pStyle w:val="50"/>
        <w:spacing w:line="360" w:lineRule="auto"/>
        <w:ind w:left="0"/>
        <w:rPr>
          <w:rFonts w:ascii="Times New Roman" w:hAnsi="Times New Roman"/>
          <w:color w:val="auto"/>
        </w:rPr>
      </w:pPr>
      <w:r>
        <w:rPr>
          <w:rFonts w:ascii="Times New Roman" w:hAnsi="Times New Roman"/>
          <w:color w:val="auto"/>
        </w:rPr>
        <w:t>6. Conclusions</w:t>
      </w:r>
    </w:p>
    <w:p w14:paraId="0B272565">
      <w:pPr>
        <w:pStyle w:val="35"/>
        <w:spacing w:line="360" w:lineRule="auto"/>
        <w:ind w:left="0"/>
        <w:rPr>
          <w:rFonts w:ascii="Times New Roman" w:hAnsi="Times New Roman"/>
          <w:color w:val="auto"/>
        </w:rPr>
      </w:pPr>
      <w:r>
        <w:rPr>
          <w:rFonts w:ascii="Times New Roman" w:hAnsi="Times New Roman"/>
          <w:color w:val="auto"/>
        </w:rPr>
        <w:t xml:space="preserve">This study constructs a TFP evaluation index system for retail companies in China by combining the retail companies' operation and management input indicators. The evaluation index system measures and evaluates the TFP of retail companies by using three-stage DEA cost Malmquist model, which includes the change of TFP, technical progress change, pure technical efficiency change, scale efficiency change, allocation efficiency change, and price effect. Based on the MI and CM indices, which capture changes in productivity, in the evaluation stage, the BPNN prediction model and the RBF neural network prediction model were constructed to predict the TFP of retail companies. Consequently, the BPNN model has higher prediction accuracy and can be used to forecast the future TFP of retail companies, which facilitates company decision makers to maintain or adjust inputs and resource allocations. This section summarizes the main findings in two main sections, evaluation and prediction. </w:t>
      </w:r>
    </w:p>
    <w:p w14:paraId="1D3DDC52">
      <w:pPr>
        <w:pStyle w:val="51"/>
        <w:spacing w:before="240" w:line="360" w:lineRule="auto"/>
        <w:ind w:left="0"/>
        <w:rPr>
          <w:rFonts w:ascii="Times New Roman" w:hAnsi="Times New Roman"/>
          <w:color w:val="auto"/>
        </w:rPr>
      </w:pPr>
      <w:r>
        <w:rPr>
          <w:rFonts w:ascii="Times New Roman" w:hAnsi="Times New Roman"/>
          <w:color w:val="auto"/>
        </w:rPr>
        <w:t>6.1. Three-stage DEA efficiency evaluation conclusions</w:t>
      </w:r>
    </w:p>
    <w:p w14:paraId="36C80BC6">
      <w:pPr>
        <w:pStyle w:val="35"/>
        <w:spacing w:line="360" w:lineRule="auto"/>
        <w:ind w:left="0"/>
        <w:rPr>
          <w:rFonts w:ascii="Times New Roman" w:hAnsi="Times New Roman"/>
          <w:color w:val="auto"/>
        </w:rPr>
      </w:pPr>
      <w:r>
        <w:rPr>
          <w:rFonts w:ascii="Times New Roman" w:hAnsi="Times New Roman"/>
          <w:color w:val="auto"/>
        </w:rPr>
        <w:t xml:space="preserve">In the first stage treatment, from 2007 to 2025, overall TFP of sample retail companies shows a wave pattern of alternating increases and decreases. The geometric mean of the MI indicates regress in the productivity of the sample as a whole, such a productivity regress is due to the superposition of the effects of two factors, technological progress and technical efficiency changes, acting in opposition to each other. Further, the geometric mean of both PTEC and SEC indicates that the management level of the sample retail companies needs to be improved and that these sample companies have not achieved scale of operation. According to previous studies MI and CM indices generally have a high correlation [83] (Fan, 2016), but the results of this phase in this paper show a low correlation, which indicates the need to consider the influence of environmental factors and statistical noise. </w:t>
      </w:r>
    </w:p>
    <w:p w14:paraId="0C811048">
      <w:pPr>
        <w:pStyle w:val="35"/>
        <w:spacing w:line="360" w:lineRule="auto"/>
        <w:ind w:left="0"/>
        <w:rPr>
          <w:rFonts w:ascii="Times New Roman" w:hAnsi="Times New Roman"/>
          <w:color w:val="auto"/>
        </w:rPr>
      </w:pPr>
      <w:r>
        <w:rPr>
          <w:rFonts w:ascii="Times New Roman" w:hAnsi="Times New Roman"/>
          <w:color w:val="auto"/>
        </w:rPr>
        <w:t xml:space="preserve"> In the second stage treatment, five environmental variables are selected as explanatory variables: the duration of company, the Retail Price Classification Index, the degree of logistics development in the main business area, the enterprise informatization degree in the area where the company's office is located, and the disposable income per capita in the main business area. A similar SFA regression model was developed with input slacks as the explanatory variable and environmental variables as the explanatory variables. The values of LR one-sided test indicates that the environmental variables were selected reasonably and the overall SFA regression model was set reasonably. The environmental variables all pass the significance test at 1% or 5% level and have a significant effect on the input slacks of the listed retail companies. </w:t>
      </w:r>
    </w:p>
    <w:p w14:paraId="179D69FE">
      <w:pPr>
        <w:pStyle w:val="35"/>
        <w:spacing w:line="360" w:lineRule="auto"/>
        <w:ind w:left="0"/>
        <w:rPr>
          <w:rFonts w:ascii="Times New Roman" w:hAnsi="Times New Roman"/>
          <w:color w:val="auto"/>
        </w:rPr>
      </w:pPr>
      <w:r>
        <w:rPr>
          <w:rFonts w:ascii="Times New Roman" w:hAnsi="Times New Roman"/>
          <w:color w:val="auto"/>
        </w:rPr>
        <w:t xml:space="preserve"> In the third stage treatment, the overall TFP change characteristics of the sample retail companies can be seen from the results of the third stag. From 2007 to 2025 the average TFP change of the sample retail companies increased steadily year by year in the early stage (2007-2013) and showed a breaking wave in the later stage (2014-2025), with an average growth rate of only 0.87% over 19 years. As of 2017, the average TFP growth rate for sample retail companies is 3.72%, but the average growth rate has been pulled down due to efficiency regress in recent years. Unlike the pre-adjustment results, the adjusted results show that TFP changes mainly stem from changes in scale efficiency (3.19%), followed by changes in technical efficiency (2.77%), with technological progress remaining almost unchanged and PTEC remaining a factor pulling down productivity (-0.47%).</w:t>
      </w:r>
    </w:p>
    <w:p w14:paraId="008588E8">
      <w:pPr>
        <w:pStyle w:val="35"/>
        <w:spacing w:line="360" w:lineRule="auto"/>
        <w:ind w:left="0"/>
        <w:rPr>
          <w:rFonts w:ascii="Times New Roman" w:hAnsi="Times New Roman"/>
          <w:color w:val="auto"/>
        </w:rPr>
      </w:pPr>
      <w:r>
        <w:rPr>
          <w:rFonts w:ascii="Times New Roman" w:hAnsi="Times New Roman"/>
          <w:color w:val="auto"/>
        </w:rPr>
        <w:t>The CM index shows that the overall productivity of the sample retail companies improved by 9.54%, but looking at the CM index by year shows that the cost efficiency of the sample companies improved year by year from 2007 to 2009, and only in the last two years has there been a significant regression. The decomposition of the change in the CM index shows that allocative efficiency improves, and for retail companies, allocative efficiency improves productivity, meaning that companies are able to increase productivity through a combination of input factors, rather than by simply adding more input factors. The price factor also contributes to the movement of the cost frontier, which differs from the one-stage results in that the adjusted index of change in allocative efficiency decreases, while the price impact index increases. The PE component in 2008, 2011, and 2020 both showed significant declines, which suggests that the effect of relative input price changes was detrimental to productivity. The AEC index is still significantly larger than PE, indicating that most listed retailers are able to cushion a portion of the negative impact of input factor price volatility through efficient factor allocation. The CM index indicates slightly higher productivity growth than the IM index, because it accounts for allocative efficiency progress, not captured by the latter. The introduction of CM index allows this information to be mined for the benefit of industry policy makers and business managers, as allocation efficiency and price effects are not captured by MI. The adjusted CM index shows a strong correlation with MI, once again validating the need to remove environmental and random factors. The three-stage cost Malmquist index model reflects productivity performance more comprehensively. And empirical results suggest that the completeness of cost approach is useful for exploring the change characteristics of the list retail companies in China.</w:t>
      </w:r>
    </w:p>
    <w:p w14:paraId="33B17AFC">
      <w:pPr>
        <w:pStyle w:val="51"/>
        <w:spacing w:before="240" w:line="360" w:lineRule="auto"/>
        <w:ind w:left="0"/>
        <w:rPr>
          <w:rFonts w:ascii="Times New Roman" w:hAnsi="Times New Roman"/>
          <w:color w:val="auto"/>
        </w:rPr>
      </w:pPr>
      <w:r>
        <w:rPr>
          <w:rFonts w:ascii="Times New Roman" w:hAnsi="Times New Roman"/>
          <w:color w:val="auto"/>
        </w:rPr>
        <w:t>6.2. Total factor productivity prediction conclusions</w:t>
      </w:r>
    </w:p>
    <w:p w14:paraId="1E90FBEA">
      <w:pPr>
        <w:pStyle w:val="35"/>
        <w:spacing w:line="360" w:lineRule="auto"/>
        <w:ind w:left="0"/>
        <w:rPr>
          <w:rFonts w:ascii="Times New Roman" w:hAnsi="Times New Roman"/>
          <w:color w:val="auto"/>
        </w:rPr>
      </w:pPr>
      <w:r>
        <w:rPr>
          <w:rFonts w:ascii="Times New Roman" w:hAnsi="Times New Roman"/>
          <w:color w:val="auto"/>
        </w:rPr>
        <w:t>This study attempts to use two different neural network models to predict TFP. BP neural network model and RBF neural network model are constructed to predict TFP of overall sample retail companies and Shanghai Yuyuan Tourist Mart in the next three years (2026-2028). The annual average MI and CM indices of the sample retail companies for 2007-2025 are used as time series to predict MI and CM indices for 2022-2024, and additionally DMU51 is selected as an example to predict MI and CM indices for individual company. The predict results are as follows.</w:t>
      </w:r>
    </w:p>
    <w:p w14:paraId="19045438">
      <w:pPr>
        <w:pStyle w:val="35"/>
        <w:spacing w:line="360" w:lineRule="auto"/>
        <w:ind w:left="0"/>
        <w:rPr>
          <w:rFonts w:ascii="Times New Roman" w:hAnsi="Times New Roman"/>
          <w:color w:val="auto"/>
        </w:rPr>
      </w:pPr>
      <w:r>
        <w:rPr>
          <w:rFonts w:ascii="Times New Roman" w:hAnsi="Times New Roman"/>
          <w:color w:val="auto"/>
        </w:rPr>
        <w:t>Based on the predicted results of model with high prediction accuracy. The MI values are below 1 for the next three years (2026-2028), implying that the productivity of the overall sample retail companies will continue to decline, with a greater decline in 2022 and 2024. CM index values will above 1 in 2022 and 2023, but below 1 in 2024, which reflecting the CM index of overall sample retail companies will increase and then decrease over the next three years (2026-2028). For Shanghai Yuyuan Tourist Mart, the MI values of in the predict results will be greater than 1 in 2022 and greater than 1.5 in 2023, but not even 0.5 in 2024, implying that the TFP of this company will experience a significant continuous rise in 2022 and 2023, but a greater decline in 2024. The CM index values in the predict results will be close to 2 in 2022, slightly greater than 1 in 2023, and less than 0.5 in 2024, implying that the overall cost efficiency of Shanghai Yuyuan Tourist Mart will experience a significant improvement in 2022, and will not improve much but maintain such efficiency in 2023, but will experience a precipitous decline in 2024.</w:t>
      </w:r>
    </w:p>
    <w:p w14:paraId="179BC80E">
      <w:pPr>
        <w:pStyle w:val="35"/>
        <w:spacing w:line="360" w:lineRule="auto"/>
        <w:ind w:left="0"/>
        <w:rPr>
          <w:rFonts w:ascii="Times New Roman" w:hAnsi="Times New Roman"/>
          <w:color w:val="auto"/>
        </w:rPr>
      </w:pPr>
      <w:r>
        <w:rPr>
          <w:rFonts w:ascii="Times New Roman" w:hAnsi="Times New Roman"/>
          <w:color w:val="auto"/>
        </w:rPr>
        <w:t>The two neural network models chosen in this article exhibit different advantages and disadvantages in the design and forecasting process. Although BP neural networks are slower to learn than RBF neural networks, BP networks can solve the mapping of the nonlinear relationship between input and output. During the network design process, the BP algorithm is subjected to iterative trials and training, because there is no guarantee of function convergence and global optimality at each training. Another difficulty of the BP algorithm is the selection of the mechanism of action of each neuron and the number of neurons in the network structure. RBF neural network is a forward network based on the theory of function approximation, which is a local approximation network. In terms of the mean value of the prediction accuracy evaluation indicators, the BP neural network has a higher prediction accuracy and its results seem to be more informative, but for the predict results of CM index of the overall sample retail companies, the RBF forecast results are more informative. This means that for time series forecasting, BP neural networks have a high accuracy rate. The prediction results make it easy for business decision makers to maintain or adjust business inputs and costs. For such case studies, it is of particular importance for relevant researchers and practitioners to understand the model and implement the computation, the productivity indices of other industries can be predicted by referring to the prediction model proposed in this study. It is only necessary to input the historical annual productivity index values into MATLAB software and adjust the appropriate parameters by referring to the code in the appendix to predict the productivity status of other industries and companies.</w:t>
      </w:r>
    </w:p>
    <w:p w14:paraId="59A11F06">
      <w:pPr>
        <w:pStyle w:val="50"/>
        <w:spacing w:line="360" w:lineRule="auto"/>
        <w:ind w:left="0"/>
        <w:rPr>
          <w:rFonts w:ascii="Times New Roman" w:hAnsi="Times New Roman"/>
          <w:color w:val="auto"/>
        </w:rPr>
      </w:pPr>
      <w:r>
        <w:rPr>
          <w:rFonts w:ascii="Times New Roman" w:hAnsi="Times New Roman"/>
          <w:color w:val="auto"/>
        </w:rPr>
        <w:t>7. Limitations of research and future prospects</w:t>
      </w:r>
    </w:p>
    <w:p w14:paraId="0CFE3131">
      <w:pPr>
        <w:pStyle w:val="35"/>
        <w:spacing w:line="360" w:lineRule="auto"/>
        <w:ind w:left="0"/>
        <w:rPr>
          <w:rFonts w:ascii="Times New Roman" w:hAnsi="Times New Roman"/>
          <w:color w:val="auto"/>
        </w:rPr>
      </w:pPr>
      <w:r>
        <w:rPr>
          <w:rFonts w:ascii="Times New Roman" w:hAnsi="Times New Roman"/>
          <w:color w:val="auto"/>
        </w:rPr>
        <w:t>First, the selection of price indicators in this paper is not supported by actual data. Companies are unwilling to disclose their unit costs. Although using averages or ratio to replace unit cost are applicable, the precise relations between allocative, overall and technical efficiencies may become blurred. Nevertheless, this article provides a starting point for the further study of considering using a cost efficiency model.</w:t>
      </w:r>
    </w:p>
    <w:p w14:paraId="0EB1DB80">
      <w:pPr>
        <w:pStyle w:val="35"/>
        <w:spacing w:line="360" w:lineRule="auto"/>
        <w:ind w:left="0"/>
        <w:rPr>
          <w:rFonts w:ascii="Times New Roman" w:hAnsi="Times New Roman"/>
          <w:color w:val="auto"/>
        </w:rPr>
      </w:pPr>
      <w:r>
        <w:rPr>
          <w:rFonts w:ascii="Times New Roman" w:hAnsi="Times New Roman"/>
          <w:color w:val="auto"/>
        </w:rPr>
        <w:t xml:space="preserve">Second, the environmental variables proposed in this paper may be less applicable. The environmental variables selected in this paper are mainly based on the China's special business environment, such as Retail Price Classification Index (Z2), logistics development degree (Z3), enterprise informatization degree (Z4), disposable income per capita (Z5), which may not be applicable in other countries or require other ways of data acquisition. </w:t>
      </w:r>
    </w:p>
    <w:p w14:paraId="583E87E7">
      <w:pPr>
        <w:pStyle w:val="35"/>
        <w:spacing w:line="360" w:lineRule="auto"/>
        <w:ind w:left="0"/>
        <w:rPr>
          <w:rFonts w:ascii="Times New Roman" w:hAnsi="Times New Roman"/>
          <w:color w:val="auto"/>
        </w:rPr>
      </w:pPr>
      <w:r>
        <w:rPr>
          <w:rFonts w:ascii="Times New Roman" w:hAnsi="Times New Roman"/>
          <w:color w:val="auto"/>
        </w:rPr>
        <w:t>Third, although this study adds cost efficiency evaluation compared to previous studies, it is also limited to allocative efficiency and price effects, other potential issues in the retail industry, such as the retail site selection, the human resource management in retailing and the retail pricing strategy, are not to be considered in this paper.</w:t>
      </w:r>
    </w:p>
    <w:p w14:paraId="599EDDD8">
      <w:pPr>
        <w:pStyle w:val="35"/>
        <w:spacing w:line="360" w:lineRule="auto"/>
        <w:ind w:left="0"/>
        <w:rPr>
          <w:rFonts w:ascii="Times New Roman" w:hAnsi="Times New Roman"/>
          <w:color w:val="auto"/>
        </w:rPr>
      </w:pPr>
      <w:r>
        <w:rPr>
          <w:rFonts w:ascii="Times New Roman" w:hAnsi="Times New Roman"/>
          <w:color w:val="auto"/>
        </w:rPr>
        <w:t>Finally, the retail industry is changing rapidly, the concept of full retailing has added a new dimension to the Chinese retail industry. Full retailing covers resources and capabilities of online, offline, supply chain, logistics, big data, and cloud sharing of these platforms, and the productivity evaluation system constructed in this paper may need further adjustment after the change of full retailing to refine the inputs and outputs to cover all aspects of full retailing. At the level of data acquisition, it may be difficult to still use cost models to measure efficiency. However, it is very meaningful to study the input of logistics, big data, and cloud sharing of these resources for productivity improvement in retail. It is becoming increasingly difficult for the retail industry to improve cost efficiency in traditional business, and logistics, big data, and cloud sharing may be called the new source of profit for the retail industry.</w:t>
      </w:r>
    </w:p>
    <w:p w14:paraId="6EF38E15">
      <w:pPr>
        <w:pStyle w:val="35"/>
        <w:ind w:left="0" w:firstLine="0"/>
        <w:rPr>
          <w:rFonts w:ascii="Times New Roman" w:hAnsi="Times New Roman"/>
          <w:color w:val="auto"/>
        </w:rPr>
      </w:pPr>
    </w:p>
    <w:p w14:paraId="79390957">
      <w:pPr>
        <w:pStyle w:val="50"/>
        <w:ind w:left="0"/>
        <w:rPr>
          <w:rFonts w:ascii="Times New Roman" w:hAnsi="Times New Roman"/>
          <w:color w:val="auto"/>
        </w:rPr>
      </w:pPr>
      <w:r>
        <w:rPr>
          <w:rFonts w:ascii="Times New Roman" w:hAnsi="Times New Roman"/>
          <w:color w:val="auto"/>
        </w:rPr>
        <w:t>References</w:t>
      </w:r>
    </w:p>
    <w:p w14:paraId="6C0D9365">
      <w:pPr>
        <w:rPr>
          <w:rFonts w:ascii="Times New Roman" w:hAnsi="Times New Roman"/>
          <w:color w:val="auto"/>
        </w:rPr>
      </w:pPr>
      <w:r>
        <w:rPr>
          <w:rFonts w:hint="default" w:ascii="Times New Roman" w:hAnsi="Times New Roman" w:cs="Times New Roman"/>
          <w:sz w:val="18"/>
          <w:szCs w:val="21"/>
        </w:rPr>
        <w:t>[1] Yin H. Analysis of the impact of digital retail on supply chain efficiency: Based on annual report data of listed retail enterprises [J]. Journal of Commercial Economics, 2024(12): 125-128. (</w:t>
      </w:r>
      <w:r>
        <w:rPr>
          <w:rFonts w:hint="default" w:ascii="Times New Roman" w:hAnsi="Times New Roman" w:cs="Times New Roman"/>
          <w:color w:val="FF0000"/>
          <w:sz w:val="18"/>
          <w:szCs w:val="21"/>
        </w:rPr>
        <w:t>in Chinese</w:t>
      </w:r>
      <w:r>
        <w:rPr>
          <w:rFonts w:hint="default" w:ascii="Times New Roman" w:hAnsi="Times New Roman" w:cs="Times New Roman"/>
          <w:sz w:val="18"/>
          <w:szCs w:val="21"/>
        </w:rPr>
        <w:t>)</w:t>
      </w:r>
    </w:p>
    <w:p w14:paraId="1829A944">
      <w:pPr>
        <w:rPr>
          <w:rFonts w:ascii="Times New Roman" w:hAnsi="Times New Roman"/>
          <w:color w:val="auto"/>
        </w:rPr>
      </w:pPr>
      <w:r>
        <w:rPr>
          <w:rFonts w:hint="default" w:ascii="Times New Roman" w:hAnsi="Times New Roman" w:cs="Times New Roman"/>
          <w:sz w:val="18"/>
          <w:szCs w:val="21"/>
        </w:rPr>
        <w:t>[2] Wang S, Hou L. The impact of digital economy on physical retail efficiency from the perspective of industrial upgrading [J]. Journal of Commercial Economics, 2024(21): 151-155. (</w:t>
      </w:r>
      <w:r>
        <w:rPr>
          <w:rFonts w:hint="default" w:ascii="Times New Roman" w:hAnsi="Times New Roman" w:cs="Times New Roman"/>
          <w:color w:val="FF0000"/>
          <w:sz w:val="18"/>
          <w:szCs w:val="21"/>
        </w:rPr>
        <w:t>in Chinese</w:t>
      </w:r>
      <w:r>
        <w:rPr>
          <w:rFonts w:hint="default" w:ascii="Times New Roman" w:hAnsi="Times New Roman" w:cs="Times New Roman"/>
          <w:sz w:val="18"/>
          <w:szCs w:val="21"/>
        </w:rPr>
        <w:t>)</w:t>
      </w:r>
    </w:p>
    <w:p w14:paraId="62A7D8D9">
      <w:pPr>
        <w:rPr>
          <w:rFonts w:hint="default" w:ascii="Times New Roman" w:hAnsi="Times New Roman" w:cs="Times New Roman"/>
          <w:sz w:val="18"/>
          <w:szCs w:val="21"/>
        </w:rPr>
      </w:pPr>
      <w:r>
        <w:rPr>
          <w:rFonts w:hint="default" w:ascii="Times New Roman" w:hAnsi="Times New Roman" w:cs="Times New Roman"/>
          <w:sz w:val="18"/>
          <w:szCs w:val="21"/>
        </w:rPr>
        <w:t>[3] Sellers‐Rubio R, Mas‐Ruiz F. Economic efficiency in supermarkets: evidences in Spain [J]. International Journal of Retail &amp; Distribution Management, 2006, 34 (2):155-171.</w:t>
      </w:r>
    </w:p>
    <w:p w14:paraId="4F6393AA">
      <w:pPr>
        <w:rPr>
          <w:rFonts w:hint="default" w:ascii="Times New Roman" w:hAnsi="Times New Roman" w:cs="Times New Roman"/>
          <w:sz w:val="18"/>
          <w:szCs w:val="21"/>
        </w:rPr>
      </w:pPr>
      <w:r>
        <w:rPr>
          <w:rFonts w:hint="default" w:ascii="Times New Roman" w:hAnsi="Times New Roman" w:cs="Times New Roman"/>
          <w:sz w:val="18"/>
          <w:szCs w:val="21"/>
        </w:rPr>
        <w:t>[4] Manuel Xavier J, Ferreira Moutinho V, Carrizo Moreira A. An empirical examination of performance in the clothing retailing industry: A case study [J]. Journal of Retailing and Consumer Services, 2015, 25:96-105.</w:t>
      </w:r>
    </w:p>
    <w:p w14:paraId="58BDEA5A">
      <w:pPr>
        <w:rPr>
          <w:rFonts w:hint="default" w:ascii="Times New Roman" w:hAnsi="Times New Roman" w:cs="Times New Roman"/>
          <w:sz w:val="18"/>
          <w:szCs w:val="21"/>
        </w:rPr>
      </w:pPr>
      <w:r>
        <w:rPr>
          <w:rFonts w:hint="default" w:ascii="Times New Roman" w:hAnsi="Times New Roman" w:cs="Times New Roman"/>
          <w:sz w:val="18"/>
          <w:szCs w:val="21"/>
        </w:rPr>
        <w:t>[5] Ratchford B T. Has the productivity of retail food stores really declined?[J]. Journal of Retailing, 2003, 79 (3):171-182.</w:t>
      </w:r>
    </w:p>
    <w:p w14:paraId="3E45C1D0">
      <w:pPr>
        <w:rPr>
          <w:rFonts w:hint="default" w:ascii="Times New Roman" w:hAnsi="Times New Roman" w:cs="Times New Roman"/>
          <w:sz w:val="18"/>
          <w:szCs w:val="21"/>
        </w:rPr>
      </w:pPr>
      <w:r>
        <w:rPr>
          <w:rFonts w:hint="default" w:ascii="Times New Roman" w:hAnsi="Times New Roman" w:cs="Times New Roman"/>
          <w:sz w:val="18"/>
          <w:szCs w:val="21"/>
        </w:rPr>
        <w:t>[6] Gandhi A, Shankar R. Efficiency measurement of Indian retailers using Data Envelopment Analysis [J]. International Journal of Retail &amp; Distribution Management, 2014, 42 (6):500-520.</w:t>
      </w:r>
    </w:p>
    <w:p w14:paraId="066D443D">
      <w:pPr>
        <w:rPr>
          <w:rFonts w:hint="eastAsia" w:ascii="Times New Roman" w:hAnsi="Times New Roman" w:cs="Times New Roman"/>
          <w:sz w:val="18"/>
          <w:szCs w:val="21"/>
          <w:highlight w:val="none"/>
          <w:lang w:val="en-US" w:eastAsia="zh-CN"/>
        </w:rPr>
      </w:pPr>
      <w:r>
        <w:rPr>
          <w:rFonts w:hint="eastAsia" w:ascii="Times New Roman" w:hAnsi="Times New Roman" w:cs="Times New Roman"/>
          <w:sz w:val="18"/>
          <w:szCs w:val="21"/>
          <w:highlight w:val="none"/>
          <w:lang w:val="en-US" w:eastAsia="zh-CN"/>
        </w:rPr>
        <w:t>[7] Barros, C.P., Alves, C.A., 2003. Hypermarket retail store efficiency in Portugal. Int. J. Retail Distrib. Manag. 31 (11), 549-560.</w:t>
      </w:r>
    </w:p>
    <w:p w14:paraId="4A4D74BF">
      <w:pPr>
        <w:rPr>
          <w:rFonts w:hint="default" w:ascii="Times New Roman" w:hAnsi="Times New Roman" w:cs="Times New Roman"/>
          <w:sz w:val="18"/>
          <w:szCs w:val="21"/>
          <w:highlight w:val="none"/>
          <w:lang w:val="en-US" w:eastAsia="zh-CN"/>
        </w:rPr>
      </w:pPr>
      <w:r>
        <w:rPr>
          <w:rFonts w:hint="eastAsia" w:ascii="Times New Roman" w:hAnsi="Times New Roman" w:cs="Times New Roman"/>
          <w:sz w:val="18"/>
          <w:szCs w:val="21"/>
          <w:highlight w:val="none"/>
          <w:lang w:val="en-US" w:eastAsia="zh-CN"/>
        </w:rPr>
        <w:t>[8] Perrigot, R., Barros, C.P., 2008. Technical efficiency of French retailers. J. Retail. Consum. Serv. 15 (4), 296-305.</w:t>
      </w:r>
    </w:p>
    <w:p w14:paraId="2D50F877">
      <w:pPr>
        <w:rPr>
          <w:rFonts w:hint="default" w:ascii="Times New Roman" w:hAnsi="Times New Roman" w:cs="Times New Roman"/>
          <w:sz w:val="18"/>
          <w:szCs w:val="21"/>
          <w:highlight w:val="none"/>
          <w:lang w:val="en-US" w:eastAsia="zh-CN"/>
        </w:rPr>
      </w:pPr>
      <w:r>
        <w:rPr>
          <w:rFonts w:hint="eastAsia" w:ascii="Times New Roman" w:hAnsi="Times New Roman" w:cs="Times New Roman"/>
          <w:sz w:val="18"/>
          <w:szCs w:val="21"/>
          <w:highlight w:val="none"/>
          <w:lang w:val="en-US" w:eastAsia="zh-CN"/>
        </w:rPr>
        <w:t>[9] Thomas, R.R., Barr, R.S., Cron, W.L., Slocum Jr, J.W., 1998. A process for evaluating retail store efficiency: a restricted DEA approach. Int. J. Res. Mark. 15 (5), 487-503.</w:t>
      </w:r>
    </w:p>
    <w:p w14:paraId="4BE84C44">
      <w:pPr>
        <w:rPr>
          <w:rFonts w:hint="default" w:ascii="Times New Roman" w:hAnsi="Times New Roman" w:cs="Times New Roman"/>
          <w:sz w:val="18"/>
          <w:szCs w:val="21"/>
        </w:rPr>
      </w:pPr>
      <w:r>
        <w:rPr>
          <w:rFonts w:hint="default" w:ascii="Times New Roman" w:hAnsi="Times New Roman" w:cs="Times New Roman"/>
          <w:sz w:val="18"/>
          <w:szCs w:val="21"/>
        </w:rPr>
        <w:t>[10] Keh H T, Chu S. Retail productivity and scale economies at the firm level: a DEA approach [J]. Omega, 2003, 31 (2):75-82.</w:t>
      </w:r>
    </w:p>
    <w:p w14:paraId="398C554B">
      <w:pPr>
        <w:rPr>
          <w:rFonts w:hint="default" w:ascii="Times New Roman" w:hAnsi="Times New Roman" w:cs="Times New Roman"/>
          <w:sz w:val="18"/>
          <w:szCs w:val="21"/>
        </w:rPr>
      </w:pPr>
      <w:r>
        <w:rPr>
          <w:rFonts w:hint="default" w:ascii="Times New Roman" w:hAnsi="Times New Roman" w:cs="Times New Roman"/>
          <w:sz w:val="18"/>
          <w:szCs w:val="21"/>
        </w:rPr>
        <w:t>[11] Pestana Barros C, Alves C A. Hypermarket retail store efficiency in Portugal [J]. International Journal of Retail &amp; Distribution Management, 2003, 31 (11):549-560.</w:t>
      </w:r>
    </w:p>
    <w:p w14:paraId="3B3E2A4F">
      <w:pPr>
        <w:rPr>
          <w:rFonts w:ascii="Times New Roman" w:hAnsi="Times New Roman"/>
          <w:color w:val="auto"/>
        </w:rPr>
      </w:pPr>
      <w:r>
        <w:rPr>
          <w:rFonts w:hint="default" w:ascii="Times New Roman" w:hAnsi="Times New Roman" w:cs="Times New Roman"/>
          <w:sz w:val="18"/>
          <w:szCs w:val="21"/>
        </w:rPr>
        <w:t>[12] Zhao H, Zhao Y. Total factor productivity evaluation and convergence analysis of China's commercial circulation industry: A case study of wholesale and retail trade [J]. Journal of Commercial Economics, 2024(19): 18-22. (</w:t>
      </w:r>
      <w:r>
        <w:rPr>
          <w:rFonts w:hint="default" w:ascii="Times New Roman" w:hAnsi="Times New Roman" w:cs="Times New Roman"/>
          <w:color w:val="FF0000"/>
          <w:sz w:val="18"/>
          <w:szCs w:val="21"/>
        </w:rPr>
        <w:t>in Chinese</w:t>
      </w:r>
      <w:r>
        <w:rPr>
          <w:rFonts w:hint="default" w:ascii="Times New Roman" w:hAnsi="Times New Roman" w:cs="Times New Roman"/>
          <w:sz w:val="18"/>
          <w:szCs w:val="21"/>
        </w:rPr>
        <w:t>)</w:t>
      </w:r>
    </w:p>
    <w:p w14:paraId="73182B48">
      <w:pPr>
        <w:rPr>
          <w:rFonts w:hint="default" w:ascii="Times New Roman" w:hAnsi="Times New Roman" w:cs="Times New Roman"/>
          <w:sz w:val="18"/>
          <w:szCs w:val="21"/>
        </w:rPr>
      </w:pPr>
      <w:r>
        <w:rPr>
          <w:rFonts w:hint="default" w:ascii="Times New Roman" w:hAnsi="Times New Roman" w:cs="Times New Roman"/>
          <w:sz w:val="18"/>
          <w:szCs w:val="21"/>
        </w:rPr>
        <w:t>[13] Kalirajan K P, Obwona M B, Zhao S. A decomposition of total factor productivity growth: the case of Chinese agricultural growth before and after reforms [J]. American Journal of Agricultural Economics, 1996, 78 (2):331-338.</w:t>
      </w:r>
    </w:p>
    <w:p w14:paraId="48A58C0B">
      <w:pPr>
        <w:rPr>
          <w:rFonts w:hint="default" w:ascii="Times New Roman" w:hAnsi="Times New Roman" w:cs="Times New Roman"/>
          <w:sz w:val="18"/>
          <w:szCs w:val="21"/>
        </w:rPr>
      </w:pPr>
      <w:r>
        <w:rPr>
          <w:rFonts w:hint="default" w:ascii="Times New Roman" w:hAnsi="Times New Roman" w:cs="Times New Roman"/>
          <w:sz w:val="18"/>
          <w:szCs w:val="21"/>
        </w:rPr>
        <w:t>[14] Nishimizu M, Page J M. Total factor productivity growth, technological progress and technical efficiency change: dimensions of productivity change in Yugoslavia, 1965-78 [J]. The Economic Journal, 1982, 92 (368):920-936.</w:t>
      </w:r>
    </w:p>
    <w:p w14:paraId="171A2A7F">
      <w:pPr>
        <w:rPr>
          <w:rFonts w:hint="default" w:ascii="Times New Roman" w:hAnsi="Times New Roman" w:cs="Times New Roman"/>
          <w:sz w:val="18"/>
          <w:szCs w:val="21"/>
        </w:rPr>
      </w:pPr>
      <w:r>
        <w:rPr>
          <w:rFonts w:hint="default" w:ascii="Times New Roman" w:hAnsi="Times New Roman" w:cs="Times New Roman"/>
          <w:sz w:val="18"/>
          <w:szCs w:val="21"/>
        </w:rPr>
        <w:t>[15] Kendrick J W. Postwar Productivity Trends in the United States, 1948–1969 [M]. NBER, 1973.</w:t>
      </w:r>
    </w:p>
    <w:p w14:paraId="13B87F81">
      <w:pPr>
        <w:rPr>
          <w:rFonts w:hint="default" w:ascii="Times New Roman" w:hAnsi="Times New Roman" w:cs="Times New Roman"/>
          <w:sz w:val="18"/>
          <w:szCs w:val="21"/>
        </w:rPr>
      </w:pPr>
      <w:r>
        <w:rPr>
          <w:rFonts w:hint="default" w:ascii="Times New Roman" w:hAnsi="Times New Roman" w:cs="Times New Roman"/>
          <w:sz w:val="18"/>
          <w:szCs w:val="21"/>
        </w:rPr>
        <w:t>[16] Sumanth D J. Total productivity management (TPmgt): a systemic and quantitative approach to compete in quality, price and time [M]. CRC Press, 1997.</w:t>
      </w:r>
    </w:p>
    <w:p w14:paraId="77C4B024">
      <w:pPr>
        <w:rPr>
          <w:rFonts w:hint="default" w:ascii="Times New Roman" w:hAnsi="Times New Roman" w:cs="Times New Roman"/>
          <w:sz w:val="18"/>
          <w:szCs w:val="21"/>
        </w:rPr>
      </w:pPr>
      <w:r>
        <w:rPr>
          <w:rFonts w:hint="default" w:ascii="Times New Roman" w:hAnsi="Times New Roman" w:cs="Times New Roman"/>
          <w:sz w:val="18"/>
          <w:szCs w:val="21"/>
        </w:rPr>
        <w:t>[17] Kong T. A selective review of recent developments in the economic growth literature [J]. Asian‐Pacific Economic Literature, 2007, 21 (1):1-33.</w:t>
      </w:r>
    </w:p>
    <w:p w14:paraId="7EB58402">
      <w:pPr>
        <w:rPr>
          <w:rFonts w:hint="default" w:ascii="Times New Roman" w:hAnsi="Times New Roman" w:cs="Times New Roman"/>
          <w:sz w:val="18"/>
          <w:szCs w:val="21"/>
        </w:rPr>
      </w:pPr>
      <w:r>
        <w:rPr>
          <w:rFonts w:hint="eastAsia" w:ascii="Times New Roman" w:hAnsi="Times New Roman" w:cs="Times New Roman"/>
          <w:sz w:val="18"/>
          <w:szCs w:val="21"/>
          <w:lang w:val="en-US" w:eastAsia="zh-CN"/>
        </w:rPr>
        <w:t>[18] Carlaw K I, Lipsey R G. Productivity, technology and economic growth: what is the relationship?[J]. Journal of Economic Surveys, 2003, 17 (3):457-495.</w:t>
      </w:r>
    </w:p>
    <w:p w14:paraId="0CEB4F45">
      <w:pPr>
        <w:rPr>
          <w:rFonts w:hint="default" w:ascii="Times New Roman" w:hAnsi="Times New Roman" w:cs="Times New Roman"/>
          <w:sz w:val="18"/>
          <w:szCs w:val="21"/>
        </w:rPr>
      </w:pPr>
      <w:r>
        <w:rPr>
          <w:rFonts w:hint="default" w:ascii="Times New Roman" w:hAnsi="Times New Roman" w:cs="Times New Roman"/>
          <w:sz w:val="18"/>
          <w:szCs w:val="21"/>
        </w:rPr>
        <w:t>[19] Del Gatto M, Di Liberto A, Petraglia C. Measuring productivity [J]. Journal of Economic Surveys, 2011, 25 (5):952-1008.</w:t>
      </w:r>
    </w:p>
    <w:p w14:paraId="42CD5091">
      <w:pPr>
        <w:rPr>
          <w:rFonts w:hint="default" w:ascii="Times New Roman" w:hAnsi="Times New Roman" w:cs="Times New Roman"/>
          <w:sz w:val="18"/>
          <w:szCs w:val="21"/>
        </w:rPr>
      </w:pPr>
      <w:r>
        <w:rPr>
          <w:rFonts w:hint="default" w:ascii="Times New Roman" w:hAnsi="Times New Roman" w:cs="Times New Roman"/>
          <w:sz w:val="18"/>
          <w:szCs w:val="21"/>
        </w:rPr>
        <w:t>[20] Helo P, Takala J, Phusavat K. Productivity measurement for knowledge work in research and development [J]. International Journal of Productivity and Quality Management, 2009, 4 (1):39-54.</w:t>
      </w:r>
    </w:p>
    <w:p w14:paraId="093D772E">
      <w:pPr>
        <w:rPr>
          <w:rFonts w:hint="default" w:ascii="Times New Roman" w:hAnsi="Times New Roman" w:cs="Times New Roman"/>
          <w:sz w:val="18"/>
          <w:szCs w:val="21"/>
        </w:rPr>
      </w:pPr>
      <w:r>
        <w:rPr>
          <w:rFonts w:hint="default" w:ascii="Times New Roman" w:hAnsi="Times New Roman" w:cs="Times New Roman"/>
          <w:sz w:val="18"/>
          <w:szCs w:val="21"/>
        </w:rPr>
        <w:t>[21] Bollou F, Ngwenyama O. Are ICT investments paying off in Africa? An analysis of total factor productivity in six West African countries from 1995 to 2002 [J]. Information Technology for Development, 2008, 14 (4):294-307.</w:t>
      </w:r>
    </w:p>
    <w:p w14:paraId="418373D3">
      <w:pPr>
        <w:rPr>
          <w:rFonts w:hint="default" w:ascii="Times New Roman" w:hAnsi="Times New Roman" w:cs="Times New Roman"/>
          <w:sz w:val="18"/>
          <w:szCs w:val="21"/>
        </w:rPr>
      </w:pPr>
      <w:r>
        <w:rPr>
          <w:rFonts w:hint="default" w:ascii="Times New Roman" w:hAnsi="Times New Roman" w:cs="Times New Roman"/>
          <w:sz w:val="18"/>
          <w:szCs w:val="21"/>
        </w:rPr>
        <w:t>[22] De Jorge Moreno J. Regional regulation analysis of performance in Spanish retailing [J]. International Journal of Retail &amp; Distribution Management, 2006, 34 (10):773.</w:t>
      </w:r>
    </w:p>
    <w:p w14:paraId="6D79C0C7">
      <w:pPr>
        <w:rPr>
          <w:rFonts w:hint="default" w:ascii="Times New Roman" w:hAnsi="Times New Roman" w:cs="Times New Roman"/>
          <w:sz w:val="18"/>
          <w:szCs w:val="21"/>
        </w:rPr>
      </w:pPr>
      <w:r>
        <w:rPr>
          <w:rFonts w:hint="default" w:ascii="Times New Roman" w:hAnsi="Times New Roman" w:cs="Times New Roman"/>
          <w:sz w:val="18"/>
          <w:szCs w:val="21"/>
        </w:rPr>
        <w:t>[23] Higón D A, Bozkurt Ö, Clegg J, et al. The determinants of retail productivity: a critical review of the evidence [J]. International Journal of Management Reviews, 2010, 12 (2):201-217.</w:t>
      </w:r>
    </w:p>
    <w:p w14:paraId="27BDB1C3">
      <w:pPr>
        <w:rPr>
          <w:rFonts w:hint="default" w:ascii="Times New Roman" w:hAnsi="Times New Roman" w:cs="Times New Roman"/>
          <w:sz w:val="18"/>
          <w:szCs w:val="21"/>
        </w:rPr>
      </w:pPr>
      <w:r>
        <w:rPr>
          <w:rFonts w:hint="default" w:ascii="Times New Roman" w:hAnsi="Times New Roman" w:cs="Times New Roman"/>
          <w:sz w:val="18"/>
          <w:szCs w:val="21"/>
        </w:rPr>
        <w:t>[24] Gauri D K. Benchmarking retail productivity considering retail pricing and format strategy [J]. Journal of Retailing, 2013, 89 (1):1-14.</w:t>
      </w:r>
    </w:p>
    <w:p w14:paraId="1184F35E">
      <w:pPr>
        <w:rPr>
          <w:rFonts w:hint="default" w:ascii="Times New Roman" w:hAnsi="Times New Roman" w:cs="Times New Roman"/>
          <w:sz w:val="18"/>
          <w:szCs w:val="21"/>
        </w:rPr>
      </w:pPr>
      <w:r>
        <w:rPr>
          <w:rFonts w:hint="default" w:ascii="Times New Roman" w:hAnsi="Times New Roman" w:cs="Times New Roman"/>
          <w:sz w:val="18"/>
          <w:szCs w:val="21"/>
        </w:rPr>
        <w:t>[25] Qiu C, Meng L. Study on total factor productivity of retail industry in east China-based on Malmquist index [C]//Proceedings of the Second International Conference on Economic and Business Management (FEBM 2017). 2017:21-23.</w:t>
      </w:r>
    </w:p>
    <w:p w14:paraId="4CC9F71E">
      <w:pPr>
        <w:rPr>
          <w:rFonts w:hint="default" w:ascii="Times New Roman" w:hAnsi="Times New Roman" w:cs="Times New Roman"/>
          <w:sz w:val="18"/>
          <w:szCs w:val="21"/>
        </w:rPr>
      </w:pPr>
      <w:r>
        <w:rPr>
          <w:rFonts w:hint="default" w:ascii="Times New Roman" w:hAnsi="Times New Roman" w:cs="Times New Roman"/>
          <w:sz w:val="18"/>
          <w:szCs w:val="21"/>
        </w:rPr>
        <w:t>[26] Cox R. The meaning and measurement of productivity in distribution [J]. Journal of Marketing, 1948, 12 (4):433-441.</w:t>
      </w:r>
    </w:p>
    <w:p w14:paraId="79D7C7F7">
      <w:pPr>
        <w:rPr>
          <w:rFonts w:hint="default" w:ascii="Times New Roman" w:hAnsi="Times New Roman" w:cs="Times New Roman"/>
          <w:sz w:val="18"/>
          <w:szCs w:val="21"/>
          <w:highlight w:val="none"/>
        </w:rPr>
      </w:pPr>
      <w:r>
        <w:rPr>
          <w:rFonts w:hint="default" w:ascii="Times New Roman" w:hAnsi="Times New Roman" w:cs="Times New Roman"/>
          <w:sz w:val="18"/>
          <w:szCs w:val="21"/>
          <w:highlight w:val="none"/>
        </w:rPr>
        <w:t>[27] Konopa L J. ANALYSIS OF SOME CHANGES IN RETAILING PRODUCTIVITY BETWEEN 1948 AND 1963 [J]. Journal of Retailing, 1968, 44 (3):57-67.</w:t>
      </w:r>
    </w:p>
    <w:p w14:paraId="1B4629E4">
      <w:pPr>
        <w:rPr>
          <w:rFonts w:hint="default" w:ascii="Times New Roman" w:hAnsi="Times New Roman" w:cs="Times New Roman"/>
          <w:sz w:val="18"/>
          <w:szCs w:val="21"/>
        </w:rPr>
      </w:pPr>
      <w:r>
        <w:rPr>
          <w:rFonts w:hint="default" w:ascii="Times New Roman" w:hAnsi="Times New Roman" w:cs="Times New Roman"/>
          <w:sz w:val="18"/>
          <w:szCs w:val="21"/>
        </w:rPr>
        <w:t>[28] Arndt J, Olsen L. A research note on economies of scale in retailing [J]. The Swedish Journal of Economics, 1975, 77 (2):207-221.</w:t>
      </w:r>
    </w:p>
    <w:p w14:paraId="4B4D4EF7">
      <w:pPr>
        <w:rPr>
          <w:rFonts w:hint="default" w:ascii="Times New Roman" w:hAnsi="Times New Roman" w:cs="Times New Roman"/>
          <w:sz w:val="18"/>
          <w:szCs w:val="21"/>
        </w:rPr>
      </w:pPr>
      <w:r>
        <w:rPr>
          <w:rFonts w:hint="default" w:ascii="Times New Roman" w:hAnsi="Times New Roman" w:cs="Times New Roman"/>
          <w:sz w:val="18"/>
          <w:szCs w:val="21"/>
        </w:rPr>
        <w:t>[29] Ingene C A. Labor productivity in retailing: what do we know and how do we know it?[J]. Journal of Marketing, 1985, 49 (4):99-106.</w:t>
      </w:r>
    </w:p>
    <w:p w14:paraId="5237559A">
      <w:pPr>
        <w:rPr>
          <w:rFonts w:hint="default" w:ascii="Times New Roman" w:hAnsi="Times New Roman" w:cs="Times New Roman"/>
          <w:sz w:val="18"/>
          <w:szCs w:val="21"/>
        </w:rPr>
      </w:pPr>
      <w:r>
        <w:rPr>
          <w:rFonts w:hint="default" w:ascii="Times New Roman" w:hAnsi="Times New Roman" w:cs="Times New Roman"/>
          <w:sz w:val="18"/>
          <w:szCs w:val="21"/>
        </w:rPr>
        <w:t>[30] Achabal D, Heineke J M, McIntyre S H. Issues and perspectives on retail productivity [J]. Journal of Retailing, 1984, 60 (3):107-129.</w:t>
      </w:r>
    </w:p>
    <w:p w14:paraId="33C53E04">
      <w:pPr>
        <w:rPr>
          <w:rFonts w:hint="default" w:ascii="Times New Roman" w:hAnsi="Times New Roman" w:cs="Times New Roman"/>
          <w:sz w:val="18"/>
          <w:szCs w:val="21"/>
        </w:rPr>
      </w:pPr>
      <w:r>
        <w:rPr>
          <w:rFonts w:hint="default" w:ascii="Times New Roman" w:hAnsi="Times New Roman" w:cs="Times New Roman"/>
          <w:sz w:val="18"/>
          <w:szCs w:val="21"/>
        </w:rPr>
        <w:t>[31] Bjurek H. The Malmquist total factor productivity index [J]. The Scandinavian Journal of Economics, 1996, 98 (2):303-313.</w:t>
      </w:r>
    </w:p>
    <w:p w14:paraId="2B775043">
      <w:pPr>
        <w:rPr>
          <w:rFonts w:hint="default" w:ascii="Times New Roman" w:hAnsi="Times New Roman" w:cs="Times New Roman"/>
          <w:sz w:val="18"/>
          <w:szCs w:val="21"/>
        </w:rPr>
      </w:pPr>
      <w:r>
        <w:rPr>
          <w:rFonts w:hint="default" w:ascii="Times New Roman" w:hAnsi="Times New Roman" w:cs="Times New Roman"/>
          <w:sz w:val="18"/>
          <w:szCs w:val="21"/>
        </w:rPr>
        <w:t>[32] Kamakura W A, Lenartowicz T, Ratchfrord B T. Productivity assessment of multiple retail outlets [J]. Journal of Retailing, 1996, 72 (4):333-356.</w:t>
      </w:r>
    </w:p>
    <w:p w14:paraId="6E197AE8">
      <w:pPr>
        <w:rPr>
          <w:rFonts w:hint="default" w:ascii="Times New Roman" w:hAnsi="Times New Roman" w:cs="Times New Roman"/>
          <w:sz w:val="18"/>
          <w:szCs w:val="21"/>
        </w:rPr>
      </w:pPr>
      <w:r>
        <w:rPr>
          <w:rFonts w:hint="default" w:ascii="Times New Roman" w:hAnsi="Times New Roman" w:cs="Times New Roman"/>
          <w:sz w:val="18"/>
          <w:szCs w:val="21"/>
        </w:rPr>
        <w:t>[33] Reardon J, Hasty R, Coe B. The effect of information technology on productivity in retailing [J]. Journal of Retailing, 1996, 72 (4):445-461.</w:t>
      </w:r>
    </w:p>
    <w:p w14:paraId="6B34C3C1">
      <w:pPr>
        <w:rPr>
          <w:rFonts w:hint="default" w:ascii="Times New Roman" w:hAnsi="Times New Roman" w:cs="Times New Roman"/>
          <w:sz w:val="18"/>
          <w:szCs w:val="21"/>
        </w:rPr>
      </w:pPr>
      <w:r>
        <w:rPr>
          <w:rFonts w:hint="default" w:ascii="Times New Roman" w:hAnsi="Times New Roman" w:cs="Times New Roman"/>
          <w:sz w:val="18"/>
          <w:szCs w:val="21"/>
        </w:rPr>
        <w:t>[34] Donthu N, Yoo B. Retail productivity assessment using data envelopment analysis [J]. Journal of Retailing, 1998, 74 (1):89-105.</w:t>
      </w:r>
    </w:p>
    <w:p w14:paraId="5A84618E">
      <w:pPr>
        <w:rPr>
          <w:rFonts w:hint="default" w:ascii="Times New Roman" w:hAnsi="Times New Roman" w:cs="Times New Roman"/>
          <w:sz w:val="18"/>
          <w:szCs w:val="21"/>
        </w:rPr>
      </w:pPr>
      <w:r>
        <w:rPr>
          <w:rFonts w:hint="default" w:ascii="Times New Roman" w:hAnsi="Times New Roman" w:cs="Times New Roman"/>
          <w:sz w:val="18"/>
          <w:szCs w:val="21"/>
        </w:rPr>
        <w:t>[35] Dubelaar C, Bhargava M, Ferrarin D. Measuring retail productivity: what really matters?[J]. Journal of Business Research, 2002, 55 (5):417-426.</w:t>
      </w:r>
    </w:p>
    <w:p w14:paraId="08C0450B">
      <w:pPr>
        <w:rPr>
          <w:rFonts w:hint="default" w:ascii="Times New Roman" w:hAnsi="Times New Roman" w:cs="Times New Roman"/>
          <w:sz w:val="18"/>
          <w:szCs w:val="21"/>
        </w:rPr>
      </w:pPr>
      <w:r>
        <w:rPr>
          <w:rFonts w:hint="default" w:ascii="Times New Roman" w:hAnsi="Times New Roman" w:cs="Times New Roman"/>
          <w:sz w:val="18"/>
          <w:szCs w:val="21"/>
        </w:rPr>
        <w:t>[36] Yu W, Ramanathan R. An assessment of operational efficiencies in the UK retail sector [J]. International Journal of Retail &amp; Distribution Management, 2008, 36 (11):861-882.</w:t>
      </w:r>
    </w:p>
    <w:p w14:paraId="78C75302">
      <w:pPr>
        <w:rPr>
          <w:rFonts w:hint="default" w:ascii="Times New Roman" w:hAnsi="Times New Roman" w:cs="Times New Roman"/>
          <w:sz w:val="18"/>
          <w:szCs w:val="21"/>
        </w:rPr>
      </w:pPr>
      <w:r>
        <w:rPr>
          <w:rFonts w:hint="default" w:ascii="Times New Roman" w:hAnsi="Times New Roman" w:cs="Times New Roman"/>
          <w:sz w:val="18"/>
          <w:szCs w:val="21"/>
        </w:rPr>
        <w:t>[37] Panigyrakis G G, Theodoridis P K. Internal marketing impact on business performance in a retail context [J]. International Journal of Retail &amp; Distribution Management, 2009, 37 (7):600-628.</w:t>
      </w:r>
    </w:p>
    <w:p w14:paraId="7DC4EF2A">
      <w:pPr>
        <w:rPr>
          <w:rFonts w:hint="default" w:ascii="Times New Roman" w:hAnsi="Times New Roman" w:cs="Times New Roman"/>
          <w:sz w:val="18"/>
          <w:szCs w:val="21"/>
        </w:rPr>
      </w:pPr>
      <w:r>
        <w:rPr>
          <w:rFonts w:hint="default" w:ascii="Times New Roman" w:hAnsi="Times New Roman" w:cs="Times New Roman"/>
          <w:sz w:val="18"/>
          <w:szCs w:val="21"/>
        </w:rPr>
        <w:t>[38] Lei L. Empirical Study on TFP Growth in Chinese Retail Listed Companies Based on an Analysis of Malmquist Index [J]. Journal of Beijing Technology and Business University, 2013, 28 (6):20-26.</w:t>
      </w:r>
    </w:p>
    <w:p w14:paraId="7A98EA07">
      <w:pPr>
        <w:rPr>
          <w:rFonts w:hint="default" w:ascii="Times New Roman" w:hAnsi="Times New Roman" w:cs="Times New Roman"/>
          <w:sz w:val="18"/>
          <w:szCs w:val="21"/>
        </w:rPr>
      </w:pPr>
      <w:r>
        <w:rPr>
          <w:rFonts w:hint="default" w:ascii="Times New Roman" w:hAnsi="Times New Roman" w:cs="Times New Roman"/>
          <w:sz w:val="18"/>
          <w:szCs w:val="21"/>
        </w:rPr>
        <w:t>[39] Rouyendegh B D, Yildizbasi A, Yilmaz I. Evaluation of retail industry performance ability through integrated intuitionistic fuzzy TOPSIS and data envelopment analysis approach [J]. Soft Computing, 2020, 24 (16):12255-12266.</w:t>
      </w:r>
    </w:p>
    <w:p w14:paraId="5D3834CE">
      <w:pPr>
        <w:rPr>
          <w:rFonts w:ascii="Times New Roman" w:hAnsi="Times New Roman"/>
          <w:color w:val="auto"/>
        </w:rPr>
      </w:pPr>
      <w:r>
        <w:rPr>
          <w:rFonts w:hint="default" w:ascii="Times New Roman" w:hAnsi="Times New Roman" w:cs="Times New Roman"/>
          <w:sz w:val="18"/>
          <w:szCs w:val="21"/>
        </w:rPr>
        <w:t>[40] Wang X, Wan C, Xie L. How does digital transformation affect total factor productivity of retail enterprises? [J]. Journal of Renmin University of China, 2023, 37(3): 56-69. (</w:t>
      </w:r>
      <w:r>
        <w:rPr>
          <w:rFonts w:hint="default" w:ascii="Times New Roman" w:hAnsi="Times New Roman" w:cs="Times New Roman"/>
          <w:color w:val="FF0000"/>
          <w:sz w:val="18"/>
          <w:szCs w:val="21"/>
        </w:rPr>
        <w:t>in Chinese</w:t>
      </w:r>
      <w:r>
        <w:rPr>
          <w:rFonts w:hint="default" w:ascii="Times New Roman" w:hAnsi="Times New Roman" w:cs="Times New Roman"/>
          <w:sz w:val="18"/>
          <w:szCs w:val="21"/>
        </w:rPr>
        <w:t>)</w:t>
      </w:r>
    </w:p>
    <w:p w14:paraId="04ED808F">
      <w:pPr>
        <w:rPr>
          <w:rFonts w:ascii="Times New Roman" w:hAnsi="Times New Roman"/>
          <w:color w:val="auto"/>
        </w:rPr>
      </w:pPr>
      <w:r>
        <w:rPr>
          <w:rFonts w:hint="default" w:ascii="Times New Roman" w:hAnsi="Times New Roman" w:cs="Times New Roman"/>
          <w:sz w:val="18"/>
          <w:szCs w:val="21"/>
        </w:rPr>
        <w:t>[41] Liang J, Yan F, Zhang Q. Digital technology enhances retail industry efficiency: Mechanism and empirical evidence [J]. Journal of Business Economics, 2023(12): 5-21. (</w:t>
      </w:r>
      <w:r>
        <w:rPr>
          <w:rFonts w:hint="default" w:ascii="Times New Roman" w:hAnsi="Times New Roman" w:cs="Times New Roman"/>
          <w:color w:val="FF0000"/>
          <w:sz w:val="18"/>
          <w:szCs w:val="21"/>
        </w:rPr>
        <w:t>in Chinese</w:t>
      </w:r>
      <w:r>
        <w:rPr>
          <w:rFonts w:hint="default" w:ascii="Times New Roman" w:hAnsi="Times New Roman" w:cs="Times New Roman"/>
          <w:sz w:val="18"/>
          <w:szCs w:val="21"/>
        </w:rPr>
        <w:t>)</w:t>
      </w:r>
    </w:p>
    <w:p w14:paraId="4CCE33CE">
      <w:pPr>
        <w:rPr>
          <w:rFonts w:hint="default" w:ascii="Times New Roman" w:hAnsi="Times New Roman" w:cs="Times New Roman"/>
          <w:color w:val="auto"/>
          <w:sz w:val="18"/>
          <w:szCs w:val="21"/>
        </w:rPr>
      </w:pPr>
      <w:r>
        <w:rPr>
          <w:rFonts w:hint="default" w:ascii="Times New Roman" w:hAnsi="Times New Roman" w:cs="Times New Roman"/>
          <w:color w:val="auto"/>
          <w:sz w:val="18"/>
          <w:szCs w:val="21"/>
        </w:rPr>
        <w:t>[42] Feng, W. Measurement of development potential and difference research of China's chain retail industry under new retail background[J]. Journal of Commercial Economics, 2021(5):35-37.</w:t>
      </w:r>
    </w:p>
    <w:p w14:paraId="5FB526E5">
      <w:pPr>
        <w:rPr>
          <w:rFonts w:hint="default" w:ascii="Times New Roman" w:hAnsi="Times New Roman" w:cs="Times New Roman"/>
          <w:color w:val="auto"/>
          <w:sz w:val="18"/>
          <w:szCs w:val="21"/>
        </w:rPr>
      </w:pPr>
      <w:r>
        <w:rPr>
          <w:rFonts w:hint="default" w:ascii="Times New Roman" w:hAnsi="Times New Roman" w:cs="Times New Roman"/>
          <w:color w:val="auto"/>
          <w:sz w:val="18"/>
          <w:szCs w:val="21"/>
        </w:rPr>
        <w:t>[43] Huang, R. Impact of technological innovation efficiency on the development of China's retail industry—Based on different dimensions of retail technological innovation[J]. Journal of Commercial Economics, 2021(9):179-182.</w:t>
      </w:r>
    </w:p>
    <w:p w14:paraId="32138394">
      <w:pPr>
        <w:rPr>
          <w:rFonts w:hint="default" w:ascii="Times New Roman" w:hAnsi="Times New Roman" w:cs="Times New Roman"/>
          <w:color w:val="auto"/>
          <w:sz w:val="18"/>
          <w:szCs w:val="21"/>
        </w:rPr>
      </w:pPr>
      <w:r>
        <w:rPr>
          <w:rFonts w:hint="default" w:ascii="Times New Roman" w:hAnsi="Times New Roman" w:cs="Times New Roman"/>
          <w:color w:val="auto"/>
          <w:sz w:val="18"/>
          <w:szCs w:val="21"/>
        </w:rPr>
        <w:t>[44] Liang, J. F. Research on operation performance evaluation of online retail enterprises based on DEA and Malmquist[J]. Journal of Hebei Software Institute, 2021,23(1):67-80.</w:t>
      </w:r>
    </w:p>
    <w:p w14:paraId="2A125548">
      <w:pPr>
        <w:rPr>
          <w:rFonts w:hint="default" w:ascii="Times New Roman" w:hAnsi="Times New Roman" w:cs="Times New Roman"/>
          <w:sz w:val="18"/>
          <w:szCs w:val="21"/>
          <w:highlight w:val="none"/>
        </w:rPr>
      </w:pPr>
      <w:r>
        <w:rPr>
          <w:rFonts w:hint="default" w:ascii="Times New Roman" w:hAnsi="Times New Roman" w:cs="Times New Roman"/>
          <w:sz w:val="18"/>
          <w:szCs w:val="21"/>
          <w:highlight w:val="none"/>
        </w:rPr>
        <w:t>[45] Gupta A, Mittal S. Measuring retail productivity of food &amp; grocery retail outlets using the DEA technique [J]. Journal of Strategic Marketing, 2010, 18 (4):277-289.</w:t>
      </w:r>
    </w:p>
    <w:p w14:paraId="35503F5E">
      <w:pPr>
        <w:rPr>
          <w:rFonts w:hint="default" w:ascii="Times New Roman" w:hAnsi="Times New Roman" w:cs="Times New Roman"/>
          <w:sz w:val="18"/>
          <w:szCs w:val="21"/>
        </w:rPr>
      </w:pPr>
      <w:r>
        <w:rPr>
          <w:rFonts w:hint="default" w:ascii="Times New Roman" w:hAnsi="Times New Roman" w:cs="Times New Roman"/>
          <w:sz w:val="18"/>
          <w:szCs w:val="21"/>
          <w:highlight w:val="none"/>
        </w:rPr>
        <w:t>[46] Lei, L. Comparative study on efficiency of physical retail，online retail and multi-channel retail enterprises. Journal of Beijing Technology and Business University,2018, 33 (1), 44-51.</w:t>
      </w:r>
    </w:p>
    <w:p w14:paraId="76725F7B">
      <w:pPr>
        <w:rPr>
          <w:rFonts w:hint="default" w:ascii="Times New Roman" w:hAnsi="Times New Roman" w:cs="Times New Roman"/>
          <w:sz w:val="18"/>
          <w:szCs w:val="21"/>
        </w:rPr>
      </w:pPr>
      <w:r>
        <w:rPr>
          <w:rFonts w:hint="eastAsia" w:ascii="Times New Roman" w:hAnsi="Times New Roman" w:cs="Times New Roman"/>
          <w:sz w:val="18"/>
          <w:szCs w:val="21"/>
          <w:lang w:val="en-US" w:eastAsia="zh-CN"/>
        </w:rPr>
        <w:t>[47] Yang, F.-C., 2020. Application of centralised DEA in an automobile parts retail network in Taiwan. Int. J. Retail Distrib. Manag. 48 (7), 667-686.</w:t>
      </w:r>
    </w:p>
    <w:p w14:paraId="79D9D4DD">
      <w:pPr>
        <w:rPr>
          <w:rFonts w:hint="default" w:ascii="Times New Roman" w:hAnsi="Times New Roman" w:cs="Times New Roman"/>
          <w:sz w:val="18"/>
          <w:szCs w:val="21"/>
        </w:rPr>
      </w:pPr>
      <w:r>
        <w:rPr>
          <w:rFonts w:hint="eastAsia" w:ascii="Times New Roman" w:hAnsi="Times New Roman" w:cs="Times New Roman"/>
          <w:sz w:val="18"/>
          <w:szCs w:val="21"/>
          <w:lang w:val="en-US" w:eastAsia="zh-CN"/>
        </w:rPr>
        <w:t>[48] Mostafa M M. Benchmarking the US specialty retailers and food consumer stores using data envelopment analysis [J]. International Journal of Retail &amp; Distribution Management, 2009, 37 (8):661-679.</w:t>
      </w:r>
    </w:p>
    <w:p w14:paraId="2F1CC66D">
      <w:pPr>
        <w:rPr>
          <w:rFonts w:hint="default" w:ascii="Times New Roman" w:hAnsi="Times New Roman" w:cs="Times New Roman"/>
          <w:sz w:val="18"/>
          <w:szCs w:val="21"/>
        </w:rPr>
      </w:pPr>
      <w:r>
        <w:rPr>
          <w:rFonts w:hint="eastAsia" w:ascii="Times New Roman" w:hAnsi="Times New Roman" w:cs="Times New Roman"/>
          <w:sz w:val="18"/>
          <w:szCs w:val="21"/>
          <w:lang w:val="en-US" w:eastAsia="zh-CN"/>
        </w:rPr>
        <w:t>[49] Gandhi, A., Shankar, R., 2016. Strategic resource management model and data envelopment analysis for benchmarking of Indian retailers. Benchmarking: An International Journal 23 (2), 286-312.</w:t>
      </w:r>
    </w:p>
    <w:p w14:paraId="4E65C49F">
      <w:pPr>
        <w:rPr>
          <w:rFonts w:hint="default" w:ascii="Times New Roman" w:hAnsi="Times New Roman" w:cs="Times New Roman"/>
          <w:color w:val="auto"/>
          <w:sz w:val="18"/>
          <w:szCs w:val="21"/>
        </w:rPr>
      </w:pPr>
      <w:r>
        <w:rPr>
          <w:rFonts w:hint="default" w:ascii="Times New Roman" w:hAnsi="Times New Roman" w:cs="Times New Roman"/>
          <w:color w:val="auto"/>
          <w:sz w:val="18"/>
          <w:szCs w:val="21"/>
        </w:rPr>
        <w:t>[50] Sun, Y. M. Research on operation efficiency of e-commerce demonstration enterprises of online retailing—Based on three-stage DEA model[J]. Economic Research Guide, 2018(15):13-15+116.</w:t>
      </w:r>
    </w:p>
    <w:p w14:paraId="57A4D693">
      <w:pPr>
        <w:rPr>
          <w:rFonts w:ascii="Times New Roman" w:hAnsi="Times New Roman"/>
          <w:color w:val="auto"/>
        </w:rPr>
      </w:pPr>
      <w:r>
        <w:rPr>
          <w:rFonts w:hint="default" w:ascii="Times New Roman" w:hAnsi="Times New Roman" w:cs="Times New Roman"/>
          <w:sz w:val="18"/>
          <w:szCs w:val="21"/>
        </w:rPr>
        <w:t>[51] Yang Y, Chen H, Liang H. Did new retail enhance enterprise competition during the COVID-19 pandemic? An empirical analysis of operating efficiency [J]. Journal of Theoretical and Applied Electronic Commerce Research, 2023, 18(1): 352-371.</w:t>
      </w:r>
    </w:p>
    <w:p w14:paraId="7DF276B6">
      <w:pPr>
        <w:rPr>
          <w:rFonts w:hint="default" w:ascii="Times New Roman" w:hAnsi="Times New Roman" w:cs="Times New Roman"/>
          <w:sz w:val="18"/>
          <w:szCs w:val="21"/>
        </w:rPr>
      </w:pPr>
      <w:r>
        <w:rPr>
          <w:rFonts w:hint="default" w:ascii="Times New Roman" w:hAnsi="Times New Roman" w:cs="Times New Roman"/>
          <w:sz w:val="18"/>
          <w:szCs w:val="21"/>
        </w:rPr>
        <w:t>[52] Sun W, Zheng Y, Yang K, et al. Machine learning–assisted molecular design and efficiency prediction for high-performance organic photovoltaic materials [J]. Science Advances, 2019,5 (11):eaay4275.</w:t>
      </w:r>
    </w:p>
    <w:p w14:paraId="63F9E7C8">
      <w:pPr>
        <w:rPr>
          <w:rFonts w:hint="default" w:ascii="Times New Roman" w:hAnsi="Times New Roman" w:cs="Times New Roman"/>
          <w:sz w:val="18"/>
          <w:szCs w:val="21"/>
        </w:rPr>
      </w:pPr>
      <w:r>
        <w:rPr>
          <w:rFonts w:hint="default" w:ascii="Times New Roman" w:hAnsi="Times New Roman" w:cs="Times New Roman"/>
          <w:sz w:val="18"/>
          <w:szCs w:val="21"/>
        </w:rPr>
        <w:t>[53] Srinivas S, Salah H. Consultation length and no-show prediction for improving appointment scheduling efficiency at a cardiology clinic: a data analytics approach [J]. International Journal of Medical Informatics, 2021,145:104290.</w:t>
      </w:r>
    </w:p>
    <w:p w14:paraId="572062BB">
      <w:pPr>
        <w:rPr>
          <w:rFonts w:hint="default" w:ascii="Times New Roman" w:hAnsi="Times New Roman" w:cs="Times New Roman"/>
          <w:sz w:val="18"/>
          <w:szCs w:val="21"/>
        </w:rPr>
      </w:pPr>
      <w:r>
        <w:rPr>
          <w:rFonts w:hint="default" w:ascii="Times New Roman" w:hAnsi="Times New Roman" w:cs="Times New Roman"/>
          <w:sz w:val="18"/>
          <w:szCs w:val="21"/>
        </w:rPr>
        <w:t>[54] Guimarães A J, Silva Araujo V J, Campos Souza P V d, et al. Using fuzzy neural networks to the prediction of improvement in expert systems for treatment of immunotherapy [C]//Ibero-American Conference on Artificial Intelligence. 2018:229-240.</w:t>
      </w:r>
    </w:p>
    <w:p w14:paraId="0BA1C222">
      <w:pPr>
        <w:rPr>
          <w:rFonts w:hint="default" w:ascii="Times New Roman" w:hAnsi="Times New Roman" w:cs="Times New Roman"/>
          <w:sz w:val="18"/>
          <w:szCs w:val="21"/>
        </w:rPr>
      </w:pPr>
      <w:r>
        <w:rPr>
          <w:rFonts w:hint="default" w:ascii="Times New Roman" w:hAnsi="Times New Roman" w:cs="Times New Roman"/>
          <w:sz w:val="18"/>
          <w:szCs w:val="21"/>
        </w:rPr>
        <w:t>[55] Li W, Wang J, Fan R, et al. Short-term traffic state prediction from latent structures: Accuracy vs. efficiency [J]. Transportation Research Part C: Emerging Technologies, 2020, 111:72-90.</w:t>
      </w:r>
    </w:p>
    <w:p w14:paraId="0E61DFAB">
      <w:pPr>
        <w:rPr>
          <w:rFonts w:hint="default" w:ascii="Times New Roman" w:hAnsi="Times New Roman" w:cs="Times New Roman"/>
          <w:sz w:val="18"/>
          <w:szCs w:val="21"/>
        </w:rPr>
      </w:pPr>
      <w:r>
        <w:rPr>
          <w:rFonts w:hint="default" w:ascii="Times New Roman" w:hAnsi="Times New Roman" w:cs="Times New Roman"/>
          <w:sz w:val="18"/>
          <w:szCs w:val="21"/>
        </w:rPr>
        <w:t>[56] Molinos-Senante M, Maziotis A. Prediction of the efficiency in the water industry: an artificial neural network approach [J]. Process Safety and Environmental Protection, 2022, 160:41-48.</w:t>
      </w:r>
    </w:p>
    <w:p w14:paraId="62D1F878">
      <w:pPr>
        <w:rPr>
          <w:rFonts w:hint="default" w:ascii="Times New Roman" w:hAnsi="Times New Roman" w:cs="Times New Roman"/>
          <w:sz w:val="18"/>
          <w:szCs w:val="21"/>
        </w:rPr>
      </w:pPr>
      <w:r>
        <w:rPr>
          <w:rFonts w:hint="default" w:ascii="Times New Roman" w:hAnsi="Times New Roman" w:cs="Times New Roman"/>
          <w:sz w:val="18"/>
          <w:szCs w:val="21"/>
        </w:rPr>
        <w:t>[57] Wang W, Deng S, Zhao D, et al. Application of machine learning into organic Rankine cycle for prediction and optimization of thermal and exergy efficiency [J]. Energy Conversion and Management, 2020, 210:112700.</w:t>
      </w:r>
    </w:p>
    <w:p w14:paraId="25B41BFD">
      <w:pPr>
        <w:rPr>
          <w:rFonts w:hint="default" w:ascii="Times New Roman" w:hAnsi="Times New Roman" w:cs="Times New Roman"/>
          <w:sz w:val="18"/>
          <w:szCs w:val="21"/>
        </w:rPr>
      </w:pPr>
      <w:r>
        <w:rPr>
          <w:rFonts w:hint="default" w:ascii="Times New Roman" w:hAnsi="Times New Roman" w:cs="Times New Roman"/>
          <w:sz w:val="18"/>
          <w:szCs w:val="21"/>
        </w:rPr>
        <w:t>[58] Guo X, Li J. A novel twitter sentiment analysis model with baseline correlation for financial market prediction with improved efficiency [C]//2019 Sixth International Conference on Social Networks Analysis, Management and Security (SNAMS). IEEE, 2019:472-477.</w:t>
      </w:r>
    </w:p>
    <w:p w14:paraId="145A24B5">
      <w:pPr>
        <w:rPr>
          <w:rFonts w:ascii="Times New Roman" w:hAnsi="Times New Roman"/>
          <w:color w:val="auto"/>
        </w:rPr>
      </w:pPr>
      <w:r>
        <w:rPr>
          <w:rFonts w:hint="default" w:ascii="Times New Roman" w:hAnsi="Times New Roman" w:cs="Times New Roman"/>
          <w:sz w:val="18"/>
          <w:szCs w:val="21"/>
        </w:rPr>
        <w:t>[59] Jauhar S K, Raj P V R P, Kamble S, et al. A deep learning-based approach for performance assessment and prediction: A case study of pulp and paper industries [J]. Annals of Operations Research, 2024, 332(1-3): 405-431.</w:t>
      </w:r>
    </w:p>
    <w:p w14:paraId="29AC8F2C">
      <w:pPr>
        <w:rPr>
          <w:rFonts w:hint="default" w:ascii="Times New Roman" w:hAnsi="Times New Roman" w:cs="Times New Roman"/>
          <w:sz w:val="18"/>
          <w:szCs w:val="21"/>
        </w:rPr>
      </w:pPr>
      <w:r>
        <w:rPr>
          <w:rFonts w:hint="default" w:ascii="Times New Roman" w:hAnsi="Times New Roman" w:cs="Times New Roman"/>
          <w:sz w:val="18"/>
          <w:szCs w:val="21"/>
        </w:rPr>
        <w:t>[60] Lu L, Zhang J, Yang F, et al. Evaluation and prediction on total factor productivity of Chinese petroleum companies via three-stage DEA model and time series neural network model [J]. Sustainable Computing: Informatics and Systems, 2020, 27:100420.</w:t>
      </w:r>
    </w:p>
    <w:p w14:paraId="7A9548AF">
      <w:pPr>
        <w:rPr>
          <w:rFonts w:hint="default" w:ascii="Times New Roman" w:hAnsi="Times New Roman" w:cs="Times New Roman"/>
          <w:sz w:val="18"/>
          <w:szCs w:val="21"/>
        </w:rPr>
      </w:pPr>
      <w:r>
        <w:rPr>
          <w:rFonts w:hint="default" w:ascii="Times New Roman" w:hAnsi="Times New Roman" w:cs="Times New Roman"/>
          <w:sz w:val="18"/>
          <w:szCs w:val="21"/>
        </w:rPr>
        <w:t>[61] Charnes A, Cooper W W, Rhodes E. Measuring the efficiency of decision making units [J]. European Journal of Operational Research, 1978, 2 (6):429-444.</w:t>
      </w:r>
    </w:p>
    <w:p w14:paraId="1CDF4A50">
      <w:pPr>
        <w:rPr>
          <w:rFonts w:hint="default" w:ascii="Times New Roman" w:hAnsi="Times New Roman" w:cs="Times New Roman"/>
          <w:sz w:val="18"/>
          <w:szCs w:val="21"/>
        </w:rPr>
      </w:pPr>
      <w:r>
        <w:rPr>
          <w:rFonts w:hint="default" w:ascii="Times New Roman" w:hAnsi="Times New Roman" w:cs="Times New Roman"/>
          <w:sz w:val="18"/>
          <w:szCs w:val="21"/>
        </w:rPr>
        <w:t>[62] Banker R D, Charnes A, Cooper W W. Some models for estimating technical and scale inefficiencies in data envelopment analysis [J]. Management Science, 1984, 30 (9):1078-1092.</w:t>
      </w:r>
    </w:p>
    <w:p w14:paraId="047F2D6F">
      <w:pPr>
        <w:rPr>
          <w:rFonts w:hint="default" w:ascii="Times New Roman" w:hAnsi="Times New Roman" w:cs="Times New Roman"/>
          <w:sz w:val="18"/>
          <w:szCs w:val="21"/>
        </w:rPr>
      </w:pPr>
      <w:r>
        <w:rPr>
          <w:rFonts w:hint="default" w:ascii="Times New Roman" w:hAnsi="Times New Roman" w:cs="Times New Roman"/>
          <w:sz w:val="18"/>
          <w:szCs w:val="21"/>
        </w:rPr>
        <w:t>[63] Fried H O, Lovell C K, Schmidt S S, et al. Accounting for environmental effects and statistical noise in data envelopment analysis [J]. Journal of Productivity Analysis, 2002, 17 (1):157-174.</w:t>
      </w:r>
    </w:p>
    <w:p w14:paraId="07CEED69">
      <w:pPr>
        <w:rPr>
          <w:rFonts w:hint="default" w:ascii="Times New Roman" w:hAnsi="Times New Roman" w:cs="Times New Roman"/>
          <w:sz w:val="18"/>
          <w:szCs w:val="21"/>
        </w:rPr>
      </w:pPr>
      <w:r>
        <w:rPr>
          <w:rFonts w:hint="default" w:ascii="Times New Roman" w:hAnsi="Times New Roman" w:cs="Times New Roman"/>
          <w:sz w:val="18"/>
          <w:szCs w:val="21"/>
        </w:rPr>
        <w:t>[64] Pastor J T, Lovell C K. A global Malmquist productivity index [J]. Economics Letters, 2005, 88 (2):266-271.</w:t>
      </w:r>
    </w:p>
    <w:p w14:paraId="0F5BB552">
      <w:pPr>
        <w:rPr>
          <w:rFonts w:hint="default" w:ascii="Times New Roman" w:hAnsi="Times New Roman" w:cs="Times New Roman"/>
          <w:sz w:val="18"/>
          <w:szCs w:val="21"/>
        </w:rPr>
      </w:pPr>
      <w:r>
        <w:rPr>
          <w:rFonts w:hint="default" w:ascii="Times New Roman" w:hAnsi="Times New Roman" w:cs="Times New Roman"/>
          <w:sz w:val="18"/>
          <w:szCs w:val="21"/>
        </w:rPr>
        <w:t>[65] Färe R, Grosskopf S, Lovell C K. The measurement of efficiency of production [M]. Springer Science &amp; Business Media, 1985.</w:t>
      </w:r>
    </w:p>
    <w:p w14:paraId="45C42DD8">
      <w:pPr>
        <w:rPr>
          <w:rFonts w:hint="default" w:ascii="Times New Roman" w:hAnsi="Times New Roman" w:cs="Times New Roman"/>
          <w:sz w:val="18"/>
          <w:szCs w:val="21"/>
        </w:rPr>
      </w:pPr>
      <w:r>
        <w:rPr>
          <w:rFonts w:hint="default" w:ascii="Times New Roman" w:hAnsi="Times New Roman" w:cs="Times New Roman"/>
          <w:sz w:val="18"/>
          <w:szCs w:val="21"/>
        </w:rPr>
        <w:t>[66] Battese G E, Coelli T J. Prediction of firm-level technical efficiencies with a generalized frontier production function and panel data [J]. Journal of Econometrics, 1988, 38 (3):387-399.</w:t>
      </w:r>
    </w:p>
    <w:p w14:paraId="101A5F82">
      <w:pPr>
        <w:rPr>
          <w:rFonts w:hint="default" w:ascii="Times New Roman" w:hAnsi="Times New Roman" w:cs="Times New Roman"/>
          <w:sz w:val="18"/>
          <w:szCs w:val="21"/>
        </w:rPr>
      </w:pPr>
      <w:r>
        <w:rPr>
          <w:rFonts w:hint="eastAsia" w:ascii="Times New Roman" w:hAnsi="Times New Roman" w:cs="Times New Roman"/>
          <w:sz w:val="18"/>
          <w:szCs w:val="21"/>
          <w:lang w:val="en-US" w:eastAsia="zh-CN"/>
        </w:rPr>
        <w:t>[67] Battese, G.E., Broca, S.S., 1997. Functional forms of stochastic frontier production functions and models for technical inefficiency effects: a comparative study for wheat farmers in Pakistan. Journal of productivity analysis 8 (4), 395-414.</w:t>
      </w:r>
    </w:p>
    <w:p w14:paraId="549EAF09">
      <w:pPr>
        <w:rPr>
          <w:rFonts w:hint="default" w:ascii="Times New Roman" w:hAnsi="Times New Roman" w:cs="Times New Roman"/>
          <w:sz w:val="18"/>
          <w:szCs w:val="21"/>
        </w:rPr>
      </w:pPr>
      <w:r>
        <w:rPr>
          <w:rFonts w:hint="eastAsia" w:ascii="Times New Roman" w:hAnsi="Times New Roman" w:cs="Times New Roman"/>
          <w:sz w:val="18"/>
          <w:szCs w:val="21"/>
          <w:lang w:val="en-US" w:eastAsia="zh-CN"/>
        </w:rPr>
        <w:t>[68] Park, B.U., Simar, L., 1994. Efficient semiparametric estimation in a stochastic frontier model. Journal of the american statistical association 89 (427), 929-936.</w:t>
      </w:r>
    </w:p>
    <w:p w14:paraId="3275168F">
      <w:pPr>
        <w:rPr>
          <w:rFonts w:hint="default" w:ascii="Times New Roman" w:hAnsi="Times New Roman" w:cs="Times New Roman"/>
          <w:sz w:val="18"/>
          <w:szCs w:val="21"/>
        </w:rPr>
      </w:pPr>
      <w:r>
        <w:rPr>
          <w:rFonts w:hint="default" w:ascii="Times New Roman" w:hAnsi="Times New Roman" w:cs="Times New Roman"/>
          <w:sz w:val="18"/>
          <w:szCs w:val="21"/>
        </w:rPr>
        <w:t>[69] Zhu N, Zhu C, Emrouznejad A. A combined machine learning algorithms and DEA method for measuring and predicting the efficiency of Chinese manufacturing listed companies [J]. Journal of Management Science and Engineering, 2020, 6 (4):435-448.</w:t>
      </w:r>
    </w:p>
    <w:p w14:paraId="2DC87C09">
      <w:pPr>
        <w:rPr>
          <w:rFonts w:ascii="Times New Roman" w:hAnsi="Times New Roman"/>
          <w:color w:val="auto"/>
        </w:rPr>
      </w:pPr>
      <w:r>
        <w:rPr>
          <w:rFonts w:hint="default" w:ascii="Times New Roman" w:hAnsi="Times New Roman" w:cs="Times New Roman"/>
          <w:sz w:val="18"/>
          <w:szCs w:val="21"/>
        </w:rPr>
        <w:t>[70] Yan S, Yao L, Hu Z. Evaluating the efficiency of water development-utilisation-treatment system: A DEA-BPNN model [J]. Proceedings of the Institution of Civil Engineers-Water Management, 2024, 177(5): 339-357.</w:t>
      </w:r>
    </w:p>
    <w:p w14:paraId="085E95F8">
      <w:pPr>
        <w:rPr>
          <w:rFonts w:ascii="Times New Roman" w:hAnsi="Times New Roman"/>
          <w:color w:val="auto"/>
        </w:rPr>
      </w:pPr>
      <w:r>
        <w:rPr>
          <w:rFonts w:hint="default" w:ascii="Times New Roman" w:hAnsi="Times New Roman" w:cs="Times New Roman"/>
          <w:sz w:val="18"/>
          <w:szCs w:val="21"/>
        </w:rPr>
        <w:t>[71] Zhang G, Guo W, Xiong X, Guan Z. A hybrid approach combining data envelopment analysis and recurrent neural network for predicting the efficiency of research institutions [J]. Expert Systems with Applications, 2024, 238: 122150.</w:t>
      </w:r>
    </w:p>
    <w:p w14:paraId="2DF84A68">
      <w:pPr>
        <w:rPr>
          <w:rFonts w:ascii="Times New Roman" w:hAnsi="Times New Roman"/>
          <w:color w:val="auto"/>
        </w:rPr>
      </w:pPr>
      <w:r>
        <w:rPr>
          <w:rFonts w:hint="default" w:ascii="Times New Roman" w:hAnsi="Times New Roman" w:cs="Times New Roman"/>
          <w:sz w:val="18"/>
          <w:szCs w:val="21"/>
        </w:rPr>
        <w:t>[72] Saen R F, Yousefi F, Azadi M. Artificial intelligence powered predictions: Enhancing supply chain sustainability [J]. Annals of Operations Research, 2024, 337: 1023-1049.</w:t>
      </w:r>
    </w:p>
    <w:p w14:paraId="70351652">
      <w:pPr>
        <w:rPr>
          <w:rFonts w:hint="default" w:ascii="Times New Roman" w:hAnsi="Times New Roman" w:cs="Times New Roman"/>
          <w:sz w:val="18"/>
          <w:szCs w:val="21"/>
        </w:rPr>
      </w:pPr>
      <w:r>
        <w:rPr>
          <w:rFonts w:hint="default" w:ascii="Times New Roman" w:hAnsi="Times New Roman" w:cs="Times New Roman"/>
          <w:sz w:val="18"/>
          <w:szCs w:val="21"/>
        </w:rPr>
        <w:t>[73] Powell M. Radial basis functions approximations to polynomials [C]//Proc. 12th Biennial Numerical Analysis Conf., 1987.</w:t>
      </w:r>
    </w:p>
    <w:p w14:paraId="1FE7DB7E">
      <w:pPr>
        <w:rPr>
          <w:rFonts w:hint="default" w:ascii="Times New Roman" w:hAnsi="Times New Roman" w:cs="Times New Roman"/>
          <w:sz w:val="18"/>
          <w:szCs w:val="21"/>
        </w:rPr>
      </w:pPr>
      <w:r>
        <w:rPr>
          <w:rFonts w:hint="default" w:ascii="Times New Roman" w:hAnsi="Times New Roman" w:cs="Times New Roman"/>
          <w:sz w:val="18"/>
          <w:szCs w:val="21"/>
        </w:rPr>
        <w:t>[74] Broomhead D S, Lowe D. Radial basis functions, multi-variable functional interpolation and adaptive networks [J]. Complex Systems, 1988, 2:321-354.</w:t>
      </w:r>
    </w:p>
    <w:p w14:paraId="61C37DB4">
      <w:pPr>
        <w:rPr>
          <w:rFonts w:hint="default" w:ascii="Times New Roman" w:hAnsi="Times New Roman" w:cs="Times New Roman"/>
          <w:sz w:val="18"/>
          <w:szCs w:val="21"/>
        </w:rPr>
      </w:pPr>
      <w:r>
        <w:rPr>
          <w:rFonts w:hint="default" w:ascii="Times New Roman" w:hAnsi="Times New Roman" w:cs="Times New Roman"/>
          <w:sz w:val="18"/>
          <w:szCs w:val="21"/>
        </w:rPr>
        <w:t>[75] Morita H, Avkiran N K. Selecting inputs and outputs in data envelopment analysis by designing statistical experiments [J]. Journal of the Operations Research Society of Japan, 2009, 52 (2):163-173.</w:t>
      </w:r>
    </w:p>
    <w:p w14:paraId="7D9C41B7">
      <w:pPr>
        <w:rPr>
          <w:rFonts w:hint="default" w:ascii="Times New Roman" w:hAnsi="Times New Roman" w:cs="Times New Roman"/>
          <w:sz w:val="18"/>
          <w:szCs w:val="21"/>
        </w:rPr>
      </w:pPr>
      <w:r>
        <w:rPr>
          <w:rFonts w:hint="default" w:ascii="Times New Roman" w:hAnsi="Times New Roman" w:cs="Times New Roman"/>
          <w:sz w:val="18"/>
          <w:szCs w:val="21"/>
        </w:rPr>
        <w:t>[76] Manandhar R, Tang J C. The evaluation of bank branch performance using data envelopment analysis: A framework [J]. The Journal of High Technology Management Research, 2002, 13 (1):1-17.</w:t>
      </w:r>
    </w:p>
    <w:p w14:paraId="147592D7">
      <w:pPr>
        <w:rPr>
          <w:rFonts w:hint="default" w:ascii="Times New Roman" w:hAnsi="Times New Roman" w:cs="Times New Roman"/>
          <w:sz w:val="18"/>
          <w:szCs w:val="21"/>
        </w:rPr>
      </w:pPr>
      <w:r>
        <w:rPr>
          <w:rFonts w:hint="default" w:ascii="Times New Roman" w:hAnsi="Times New Roman" w:cs="Times New Roman"/>
          <w:sz w:val="18"/>
          <w:szCs w:val="21"/>
        </w:rPr>
        <w:t>[77] Sherman H D, Rupert T J. Do bank mergers have hidden or foregone value? Realized and unrealized operating synergies in one bank merger [J]. European Journal of Operational Research, 2006, 168 (1):253-268.</w:t>
      </w:r>
    </w:p>
    <w:p w14:paraId="7FB24EFF">
      <w:pPr>
        <w:rPr>
          <w:rFonts w:hint="default" w:ascii="Times New Roman" w:hAnsi="Times New Roman" w:cs="Times New Roman"/>
          <w:color w:val="auto"/>
          <w:sz w:val="18"/>
          <w:szCs w:val="21"/>
        </w:rPr>
      </w:pPr>
      <w:r>
        <w:rPr>
          <w:rFonts w:hint="eastAsia" w:ascii="Times New Roman" w:hAnsi="Times New Roman" w:cs="Times New Roman"/>
          <w:color w:val="auto"/>
          <w:sz w:val="18"/>
          <w:szCs w:val="21"/>
          <w:lang w:val="en-US" w:eastAsia="zh-CN"/>
        </w:rPr>
        <w:t>[78] Ni, S. S. DEA efficiency analysis of online-offline integration in China's retail industry—Empirical evidence from listed retail companies[J]. Journal of Commercial Economics, 2019(13).</w:t>
      </w:r>
    </w:p>
    <w:p w14:paraId="6A3A1FA9">
      <w:pPr>
        <w:rPr>
          <w:rFonts w:hint="default" w:ascii="Times New Roman" w:hAnsi="Times New Roman" w:cs="Times New Roman"/>
          <w:sz w:val="18"/>
          <w:szCs w:val="21"/>
        </w:rPr>
      </w:pPr>
      <w:r>
        <w:rPr>
          <w:rFonts w:hint="default" w:ascii="Times New Roman" w:hAnsi="Times New Roman" w:cs="Times New Roman"/>
          <w:sz w:val="18"/>
          <w:szCs w:val="21"/>
        </w:rPr>
        <w:t>[79] Zhao H. Evaluation of operation efficiency of online retail type e-commerce businesses based on DEA [J]. Journal of Shenyang University of Technology, 2020, 13 (6):534-539.</w:t>
      </w:r>
    </w:p>
    <w:p w14:paraId="4CCAF6D9">
      <w:pPr>
        <w:rPr>
          <w:rFonts w:hint="default" w:ascii="Times New Roman" w:hAnsi="Times New Roman" w:cs="Times New Roman"/>
          <w:sz w:val="18"/>
          <w:szCs w:val="21"/>
        </w:rPr>
      </w:pPr>
      <w:r>
        <w:rPr>
          <w:rFonts w:hint="default" w:ascii="Times New Roman" w:hAnsi="Times New Roman" w:cs="Times New Roman"/>
          <w:sz w:val="18"/>
          <w:szCs w:val="21"/>
        </w:rPr>
        <w:t>[80] Li Z W. Research on the Technical Efficiency of Chinese Retail Industry Based on the Stochastic Frontier Analysis Model [J]. China Business and Market, 2016, 30 (11):109-120.</w:t>
      </w:r>
    </w:p>
    <w:p w14:paraId="577E71E9">
      <w:pPr>
        <w:rPr>
          <w:rFonts w:hint="default" w:ascii="Times New Roman" w:hAnsi="Times New Roman" w:cs="Times New Roman"/>
          <w:sz w:val="18"/>
          <w:szCs w:val="21"/>
        </w:rPr>
      </w:pPr>
      <w:r>
        <w:rPr>
          <w:rFonts w:hint="default" w:ascii="Times New Roman" w:hAnsi="Times New Roman" w:cs="Times New Roman"/>
          <w:sz w:val="18"/>
          <w:szCs w:val="21"/>
        </w:rPr>
        <w:t>[81] Zhao C Y, W W, Li X S. How Does Digital Transformation Affect the Total Factor Productivity of Enterprises?[J]. Finance &amp; Trade Economics, 2021, 42 (7):114-129.</w:t>
      </w:r>
    </w:p>
    <w:p w14:paraId="362BCCD8">
      <w:pPr>
        <w:rPr>
          <w:rFonts w:hint="default" w:ascii="Times New Roman" w:hAnsi="Times New Roman" w:cs="Times New Roman"/>
          <w:sz w:val="18"/>
          <w:szCs w:val="21"/>
        </w:rPr>
      </w:pPr>
      <w:r>
        <w:rPr>
          <w:rFonts w:hint="default" w:ascii="Times New Roman" w:hAnsi="Times New Roman" w:cs="Times New Roman"/>
          <w:sz w:val="18"/>
          <w:szCs w:val="21"/>
        </w:rPr>
        <w:t>[82] Wang X H, W C. Productivity Growth, Technical Progress and Efficiency Change in Chinese Retail Listed Companies (1998-2007):A Study based on Malmquist Index [J]. Economic Management Journal, 2009, 31 (5):43-47.</w:t>
      </w:r>
    </w:p>
    <w:p w14:paraId="095A4BC3">
      <w:pPr>
        <w:rPr>
          <w:rFonts w:ascii="Times New Roman" w:hAnsi="Times New Roman"/>
          <w:color w:val="auto"/>
        </w:rPr>
      </w:pPr>
      <w:r>
        <w:rPr>
          <w:rFonts w:hint="default" w:ascii="Times New Roman" w:hAnsi="Times New Roman" w:cs="Times New Roman"/>
          <w:sz w:val="18"/>
          <w:szCs w:val="21"/>
        </w:rPr>
        <w:t>[83] Fan L. The Dynamic Analysis of Cost Efficiency of Chinede Listed Logistics Enterprises-Based on Cost Malmquist Approach [J]. Soft Science, 2016, 30 (6):71-87.</w:t>
      </w:r>
    </w:p>
    <w:sectPr>
      <w:footerReference r:id="rId7" w:type="first"/>
      <w:headerReference r:id="rId5" w:type="default"/>
      <w:headerReference r:id="rId6" w:type="even"/>
      <w:type w:val="continuous"/>
      <w:pgSz w:w="11906" w:h="16838"/>
      <w:pgMar w:top="1417" w:right="720" w:bottom="1077" w:left="720" w:header="1020" w:footer="340" w:gutter="0"/>
      <w:lnNumType w:countBy="1" w:distance="255" w:restart="continuous"/>
      <w:pgNumType w:start="1"/>
      <w:cols w:space="425" w:num="1"/>
      <w:bidi/>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FZSong_Superfont">
    <w:panose1 w:val="02000009000000000000"/>
    <w:charset w:val="81"/>
    <w:family w:val="auto"/>
    <w:pitch w:val="default"/>
    <w:sig w:usb0="800002A7" w:usb1="29D77CFB" w:usb2="00000010" w:usb3="00000000" w:csb0="0008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Batang">
    <w:panose1 w:val="02030600000101010101"/>
    <w:charset w:val="81"/>
    <w:family w:val="roman"/>
    <w:pitch w:val="default"/>
    <w:sig w:usb0="B00002AF" w:usb1="69D77CFB" w:usb2="00000030" w:usb3="00000000" w:csb0="4008009F" w:csb1="DFD7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F7C56">
    <w:pPr>
      <w:pStyle w:val="48"/>
      <w:tabs>
        <w:tab w:val="right" w:pos="10466"/>
        <w:tab w:val="clear" w:pos="8845"/>
      </w:tabs>
      <w:spacing w:line="240" w:lineRule="auto"/>
      <w:jc w:val="both"/>
      <w:rPr>
        <w:lang w:val="fr-CH"/>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EAE6F">
    <w:pPr>
      <w:tabs>
        <w:tab w:val="right" w:pos="10466"/>
      </w:tabs>
      <w:adjustRightInd w:val="0"/>
      <w:snapToGrid w:val="0"/>
      <w:spacing w:line="240" w:lineRule="auto"/>
      <w:rPr>
        <w:sz w:val="16"/>
      </w:rPr>
    </w:pPr>
    <w:r>
      <w:rPr>
        <w:sz w:val="16"/>
      </w:rPr>
      <w:tab/>
    </w:r>
    <w:r>
      <w:rPr>
        <w:sz w:val="16"/>
      </w:rPr>
      <w:fldChar w:fldCharType="begin"/>
    </w:r>
    <w:r>
      <w:rPr>
        <w:sz w:val="16"/>
      </w:rPr>
      <w:instrText xml:space="preserve"> PAGE   \* MERGEFORMAT </w:instrText>
    </w:r>
    <w:r>
      <w:rPr>
        <w:sz w:val="16"/>
      </w:rPr>
      <w:fldChar w:fldCharType="separate"/>
    </w:r>
    <w:r>
      <w:rPr>
        <w:sz w:val="16"/>
      </w:rPr>
      <w:t>5</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5</w:t>
    </w:r>
    <w:r>
      <w:rPr>
        <w:sz w:val="16"/>
      </w:rPr>
      <w:fldChar w:fldCharType="end"/>
    </w:r>
  </w:p>
  <w:p w14:paraId="6546853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2CA10">
    <w:pPr>
      <w:pStyle w:val="10"/>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8B68D0"/>
    <w:multiLevelType w:val="multilevel"/>
    <w:tmpl w:val="178B68D0"/>
    <w:lvl w:ilvl="0" w:tentative="0">
      <w:start w:val="1"/>
      <w:numFmt w:val="decimal"/>
      <w:pStyle w:val="87"/>
      <w:lvlText w:val="%1."/>
      <w:lvlJc w:val="left"/>
      <w:pPr>
        <w:ind w:left="425" w:hanging="425"/>
      </w:pPr>
      <w:rPr>
        <w:vertAlign w:val="superscrip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8B468F5"/>
    <w:multiLevelType w:val="multilevel"/>
    <w:tmpl w:val="18B468F5"/>
    <w:lvl w:ilvl="0" w:tentative="0">
      <w:start w:val="1"/>
      <w:numFmt w:val="bullet"/>
      <w:pStyle w:val="40"/>
      <w:lvlText w:val=""/>
      <w:lvlJc w:val="left"/>
      <w:pPr>
        <w:ind w:left="3033" w:hanging="425"/>
      </w:pPr>
      <w:rPr>
        <w:rFonts w:hint="default" w:ascii="Symbol" w:hAnsi="Symbol"/>
        <w:b w:val="0"/>
        <w:i w:val="0"/>
        <w:sz w:val="2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2A71D87"/>
    <w:multiLevelType w:val="multilevel"/>
    <w:tmpl w:val="22A71D87"/>
    <w:lvl w:ilvl="0" w:tentative="0">
      <w:start w:val="1"/>
      <w:numFmt w:val="decimal"/>
      <w:pStyle w:val="52"/>
      <w:lvlText w:val="%1."/>
      <w:lvlJc w:val="left"/>
      <w:pPr>
        <w:ind w:left="425" w:hanging="425"/>
      </w:pPr>
      <w:rPr>
        <w:b w:val="0"/>
        <w:i w:val="0"/>
        <w:sz w:val="2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7F9426D"/>
    <w:multiLevelType w:val="multilevel"/>
    <w:tmpl w:val="27F9426D"/>
    <w:lvl w:ilvl="0" w:tentative="0">
      <w:start w:val="1"/>
      <w:numFmt w:val="decimal"/>
      <w:pStyle w:val="39"/>
      <w:lvlText w:val="%1."/>
      <w:lvlJc w:val="left"/>
      <w:pPr>
        <w:ind w:left="3033" w:hanging="425"/>
      </w:pPr>
      <w:rPr>
        <w:b w:val="0"/>
        <w:i w:val="0"/>
        <w:sz w:val="20"/>
        <w:vertAlign w:val="baseline"/>
      </w:rPr>
    </w:lvl>
    <w:lvl w:ilvl="1" w:tentative="0">
      <w:start w:val="1"/>
      <w:numFmt w:val="lowerLetter"/>
      <w:lvlText w:val="%2."/>
      <w:lvlJc w:val="left"/>
      <w:pPr>
        <w:ind w:left="4048" w:hanging="360"/>
      </w:pPr>
    </w:lvl>
    <w:lvl w:ilvl="2" w:tentative="0">
      <w:start w:val="1"/>
      <w:numFmt w:val="lowerRoman"/>
      <w:lvlText w:val="%3."/>
      <w:lvlJc w:val="right"/>
      <w:pPr>
        <w:ind w:left="4768" w:hanging="180"/>
      </w:pPr>
    </w:lvl>
    <w:lvl w:ilvl="3" w:tentative="0">
      <w:start w:val="1"/>
      <w:numFmt w:val="decimal"/>
      <w:lvlText w:val="%4."/>
      <w:lvlJc w:val="left"/>
      <w:pPr>
        <w:ind w:left="5488" w:hanging="360"/>
      </w:pPr>
    </w:lvl>
    <w:lvl w:ilvl="4" w:tentative="0">
      <w:start w:val="1"/>
      <w:numFmt w:val="lowerLetter"/>
      <w:lvlText w:val="%5."/>
      <w:lvlJc w:val="left"/>
      <w:pPr>
        <w:ind w:left="6208" w:hanging="360"/>
      </w:pPr>
    </w:lvl>
    <w:lvl w:ilvl="5" w:tentative="0">
      <w:start w:val="1"/>
      <w:numFmt w:val="lowerRoman"/>
      <w:lvlText w:val="%6."/>
      <w:lvlJc w:val="right"/>
      <w:pPr>
        <w:ind w:left="6928" w:hanging="180"/>
      </w:pPr>
    </w:lvl>
    <w:lvl w:ilvl="6" w:tentative="0">
      <w:start w:val="1"/>
      <w:numFmt w:val="decimal"/>
      <w:lvlText w:val="%7."/>
      <w:lvlJc w:val="left"/>
      <w:pPr>
        <w:ind w:left="7648" w:hanging="360"/>
      </w:pPr>
    </w:lvl>
    <w:lvl w:ilvl="7" w:tentative="0">
      <w:start w:val="1"/>
      <w:numFmt w:val="lowerLetter"/>
      <w:lvlText w:val="%8."/>
      <w:lvlJc w:val="left"/>
      <w:pPr>
        <w:ind w:left="8368" w:hanging="360"/>
      </w:pPr>
    </w:lvl>
    <w:lvl w:ilvl="8" w:tentative="0">
      <w:start w:val="1"/>
      <w:numFmt w:val="lowerRoman"/>
      <w:lvlText w:val="%9."/>
      <w:lvlJc w:val="right"/>
      <w:pPr>
        <w:ind w:left="9088"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510"/>
  <w:autoHyphenation/>
  <w:drawingGridHorizontalSpacing w:val="10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Retailing Cons Serv&lt;/Style&gt;&lt;LeftDelim&gt;{&lt;/LeftDelim&gt;&lt;RightDelim&gt;}&lt;/RightDelim&gt;&lt;FontName&gt;Palatino Linotype&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ad0evx91r9zenexwzn5pddzpdppa2ttewf5&quot;&gt;My EndNote Library&lt;record-ids&gt;&lt;item&gt;108&lt;/item&gt;&lt;item&gt;109&lt;/item&gt;&lt;item&gt;110&lt;/item&gt;&lt;item&gt;114&lt;/item&gt;&lt;item&gt;116&lt;/item&gt;&lt;/record-ids&gt;&lt;/item&gt;&lt;/Libraries&gt;"/>
  </w:docVars>
  <w:rsids>
    <w:rsidRoot w:val="0034414A"/>
    <w:rsid w:val="000142CA"/>
    <w:rsid w:val="00020CE2"/>
    <w:rsid w:val="000226E4"/>
    <w:rsid w:val="000255B1"/>
    <w:rsid w:val="00037AE6"/>
    <w:rsid w:val="00051876"/>
    <w:rsid w:val="00064772"/>
    <w:rsid w:val="0006546C"/>
    <w:rsid w:val="00070D92"/>
    <w:rsid w:val="00071218"/>
    <w:rsid w:val="00077220"/>
    <w:rsid w:val="00080EFC"/>
    <w:rsid w:val="000855EA"/>
    <w:rsid w:val="000925CA"/>
    <w:rsid w:val="00093CC3"/>
    <w:rsid w:val="00093E7F"/>
    <w:rsid w:val="000C480B"/>
    <w:rsid w:val="000F0754"/>
    <w:rsid w:val="000F6F08"/>
    <w:rsid w:val="00104D24"/>
    <w:rsid w:val="00107935"/>
    <w:rsid w:val="0014459E"/>
    <w:rsid w:val="00155C31"/>
    <w:rsid w:val="001565DF"/>
    <w:rsid w:val="001668CC"/>
    <w:rsid w:val="00174F72"/>
    <w:rsid w:val="00185980"/>
    <w:rsid w:val="001A1BB3"/>
    <w:rsid w:val="001A27B2"/>
    <w:rsid w:val="001A413C"/>
    <w:rsid w:val="001A57BF"/>
    <w:rsid w:val="001B3809"/>
    <w:rsid w:val="001B38D4"/>
    <w:rsid w:val="001C441A"/>
    <w:rsid w:val="001C6A9B"/>
    <w:rsid w:val="001D057B"/>
    <w:rsid w:val="001D7FA7"/>
    <w:rsid w:val="001E2AEB"/>
    <w:rsid w:val="00201488"/>
    <w:rsid w:val="00204327"/>
    <w:rsid w:val="002141F8"/>
    <w:rsid w:val="00214D9E"/>
    <w:rsid w:val="0022638C"/>
    <w:rsid w:val="002266AA"/>
    <w:rsid w:val="002314DD"/>
    <w:rsid w:val="002316BB"/>
    <w:rsid w:val="002510BB"/>
    <w:rsid w:val="00253CA3"/>
    <w:rsid w:val="00256E65"/>
    <w:rsid w:val="00267FD9"/>
    <w:rsid w:val="00281E5B"/>
    <w:rsid w:val="0029420B"/>
    <w:rsid w:val="002B013A"/>
    <w:rsid w:val="002C338C"/>
    <w:rsid w:val="002C3B7D"/>
    <w:rsid w:val="002D650D"/>
    <w:rsid w:val="002E501F"/>
    <w:rsid w:val="002E57DB"/>
    <w:rsid w:val="002E5B86"/>
    <w:rsid w:val="002F1BFE"/>
    <w:rsid w:val="002F432A"/>
    <w:rsid w:val="00316C89"/>
    <w:rsid w:val="0032114B"/>
    <w:rsid w:val="00326141"/>
    <w:rsid w:val="00330A75"/>
    <w:rsid w:val="003337EA"/>
    <w:rsid w:val="00337833"/>
    <w:rsid w:val="0034414A"/>
    <w:rsid w:val="00345368"/>
    <w:rsid w:val="00354A5A"/>
    <w:rsid w:val="003721CF"/>
    <w:rsid w:val="00373952"/>
    <w:rsid w:val="003B2CF8"/>
    <w:rsid w:val="003C6C7C"/>
    <w:rsid w:val="003D1D40"/>
    <w:rsid w:val="003D60EE"/>
    <w:rsid w:val="003E6954"/>
    <w:rsid w:val="003E7640"/>
    <w:rsid w:val="003F3B7A"/>
    <w:rsid w:val="003F4EFE"/>
    <w:rsid w:val="003F6C3A"/>
    <w:rsid w:val="003F7021"/>
    <w:rsid w:val="00401235"/>
    <w:rsid w:val="00401D30"/>
    <w:rsid w:val="004050FF"/>
    <w:rsid w:val="00405CCA"/>
    <w:rsid w:val="004102B9"/>
    <w:rsid w:val="00415E15"/>
    <w:rsid w:val="00425371"/>
    <w:rsid w:val="00431D81"/>
    <w:rsid w:val="00444679"/>
    <w:rsid w:val="00465895"/>
    <w:rsid w:val="0048108F"/>
    <w:rsid w:val="004860A9"/>
    <w:rsid w:val="00492FD6"/>
    <w:rsid w:val="00495F3B"/>
    <w:rsid w:val="004B0B17"/>
    <w:rsid w:val="004B240B"/>
    <w:rsid w:val="004B4287"/>
    <w:rsid w:val="004C3F57"/>
    <w:rsid w:val="004C46B1"/>
    <w:rsid w:val="004E0F98"/>
    <w:rsid w:val="004E21A1"/>
    <w:rsid w:val="004F0E02"/>
    <w:rsid w:val="004F675C"/>
    <w:rsid w:val="005028E5"/>
    <w:rsid w:val="00502EEE"/>
    <w:rsid w:val="00511E44"/>
    <w:rsid w:val="005211C3"/>
    <w:rsid w:val="00530310"/>
    <w:rsid w:val="005327C9"/>
    <w:rsid w:val="00550830"/>
    <w:rsid w:val="005660F6"/>
    <w:rsid w:val="0057203D"/>
    <w:rsid w:val="00585014"/>
    <w:rsid w:val="005A172D"/>
    <w:rsid w:val="005B06F4"/>
    <w:rsid w:val="005B1716"/>
    <w:rsid w:val="005D1212"/>
    <w:rsid w:val="005D13A9"/>
    <w:rsid w:val="005E0240"/>
    <w:rsid w:val="005E14E8"/>
    <w:rsid w:val="005E25D8"/>
    <w:rsid w:val="005E42AE"/>
    <w:rsid w:val="00601C41"/>
    <w:rsid w:val="00601EF4"/>
    <w:rsid w:val="00604EDE"/>
    <w:rsid w:val="00607F24"/>
    <w:rsid w:val="006204BC"/>
    <w:rsid w:val="00620504"/>
    <w:rsid w:val="00632077"/>
    <w:rsid w:val="006429BB"/>
    <w:rsid w:val="00650696"/>
    <w:rsid w:val="00684E09"/>
    <w:rsid w:val="006878AC"/>
    <w:rsid w:val="00692393"/>
    <w:rsid w:val="006A7FF4"/>
    <w:rsid w:val="006C619C"/>
    <w:rsid w:val="006E142A"/>
    <w:rsid w:val="006F5AC9"/>
    <w:rsid w:val="00706BA9"/>
    <w:rsid w:val="007075F1"/>
    <w:rsid w:val="007169AE"/>
    <w:rsid w:val="00740B6F"/>
    <w:rsid w:val="007446CC"/>
    <w:rsid w:val="0075794E"/>
    <w:rsid w:val="007628E6"/>
    <w:rsid w:val="0076686D"/>
    <w:rsid w:val="007674BF"/>
    <w:rsid w:val="00770948"/>
    <w:rsid w:val="0077402B"/>
    <w:rsid w:val="007A108C"/>
    <w:rsid w:val="007A283C"/>
    <w:rsid w:val="007A3531"/>
    <w:rsid w:val="007A7D49"/>
    <w:rsid w:val="007B4A59"/>
    <w:rsid w:val="007D2775"/>
    <w:rsid w:val="007D3DFE"/>
    <w:rsid w:val="007E1AD0"/>
    <w:rsid w:val="007E358B"/>
    <w:rsid w:val="007E5740"/>
    <w:rsid w:val="0081242C"/>
    <w:rsid w:val="00822B3D"/>
    <w:rsid w:val="00832857"/>
    <w:rsid w:val="0083525D"/>
    <w:rsid w:val="00840934"/>
    <w:rsid w:val="00841933"/>
    <w:rsid w:val="008430F5"/>
    <w:rsid w:val="008523BB"/>
    <w:rsid w:val="008838CF"/>
    <w:rsid w:val="008B5125"/>
    <w:rsid w:val="008B6933"/>
    <w:rsid w:val="008C0028"/>
    <w:rsid w:val="008C07C5"/>
    <w:rsid w:val="008C1295"/>
    <w:rsid w:val="008C6D6B"/>
    <w:rsid w:val="008D4970"/>
    <w:rsid w:val="008D640C"/>
    <w:rsid w:val="008E387D"/>
    <w:rsid w:val="008E5ABE"/>
    <w:rsid w:val="008F2F9E"/>
    <w:rsid w:val="008F446B"/>
    <w:rsid w:val="00933E2C"/>
    <w:rsid w:val="009465A7"/>
    <w:rsid w:val="00956613"/>
    <w:rsid w:val="00964A28"/>
    <w:rsid w:val="00967F2F"/>
    <w:rsid w:val="009873EB"/>
    <w:rsid w:val="00991C1C"/>
    <w:rsid w:val="00993A21"/>
    <w:rsid w:val="009C15FD"/>
    <w:rsid w:val="009D0DA8"/>
    <w:rsid w:val="009D2998"/>
    <w:rsid w:val="009D5560"/>
    <w:rsid w:val="009E7E90"/>
    <w:rsid w:val="009F0B0F"/>
    <w:rsid w:val="009F70E6"/>
    <w:rsid w:val="00A04FD6"/>
    <w:rsid w:val="00A0751C"/>
    <w:rsid w:val="00A36565"/>
    <w:rsid w:val="00A37BAF"/>
    <w:rsid w:val="00A56C8C"/>
    <w:rsid w:val="00A65307"/>
    <w:rsid w:val="00A70B08"/>
    <w:rsid w:val="00A841B9"/>
    <w:rsid w:val="00A86E9F"/>
    <w:rsid w:val="00AA684A"/>
    <w:rsid w:val="00AB1FA3"/>
    <w:rsid w:val="00AE68B2"/>
    <w:rsid w:val="00AF0644"/>
    <w:rsid w:val="00AF5A91"/>
    <w:rsid w:val="00B00AFB"/>
    <w:rsid w:val="00B04989"/>
    <w:rsid w:val="00B053E7"/>
    <w:rsid w:val="00B21347"/>
    <w:rsid w:val="00B35024"/>
    <w:rsid w:val="00B4734C"/>
    <w:rsid w:val="00B56A25"/>
    <w:rsid w:val="00B80275"/>
    <w:rsid w:val="00B84F5A"/>
    <w:rsid w:val="00B913CC"/>
    <w:rsid w:val="00BA570C"/>
    <w:rsid w:val="00BB5981"/>
    <w:rsid w:val="00BD0732"/>
    <w:rsid w:val="00BD2405"/>
    <w:rsid w:val="00BD5735"/>
    <w:rsid w:val="00BE0791"/>
    <w:rsid w:val="00C02A07"/>
    <w:rsid w:val="00C036E8"/>
    <w:rsid w:val="00C1330C"/>
    <w:rsid w:val="00C33B98"/>
    <w:rsid w:val="00C43255"/>
    <w:rsid w:val="00C45F1E"/>
    <w:rsid w:val="00C464C3"/>
    <w:rsid w:val="00C46D21"/>
    <w:rsid w:val="00C55728"/>
    <w:rsid w:val="00C70B3D"/>
    <w:rsid w:val="00C8316E"/>
    <w:rsid w:val="00C85722"/>
    <w:rsid w:val="00C90EAB"/>
    <w:rsid w:val="00C90F92"/>
    <w:rsid w:val="00C953EF"/>
    <w:rsid w:val="00C9601A"/>
    <w:rsid w:val="00CA2A32"/>
    <w:rsid w:val="00CA6896"/>
    <w:rsid w:val="00CB1339"/>
    <w:rsid w:val="00CD3203"/>
    <w:rsid w:val="00CE4542"/>
    <w:rsid w:val="00CE7302"/>
    <w:rsid w:val="00D052E7"/>
    <w:rsid w:val="00D07230"/>
    <w:rsid w:val="00D13407"/>
    <w:rsid w:val="00D14CE0"/>
    <w:rsid w:val="00D223A8"/>
    <w:rsid w:val="00D2684C"/>
    <w:rsid w:val="00D32E9B"/>
    <w:rsid w:val="00D3762C"/>
    <w:rsid w:val="00D41782"/>
    <w:rsid w:val="00D46AF5"/>
    <w:rsid w:val="00D525BC"/>
    <w:rsid w:val="00D8187E"/>
    <w:rsid w:val="00D92691"/>
    <w:rsid w:val="00D94F8A"/>
    <w:rsid w:val="00DA1EC8"/>
    <w:rsid w:val="00DA5F56"/>
    <w:rsid w:val="00DA636E"/>
    <w:rsid w:val="00DB04E8"/>
    <w:rsid w:val="00DC426C"/>
    <w:rsid w:val="00DC5535"/>
    <w:rsid w:val="00DE02F0"/>
    <w:rsid w:val="00E034CE"/>
    <w:rsid w:val="00E11356"/>
    <w:rsid w:val="00E20264"/>
    <w:rsid w:val="00E219C7"/>
    <w:rsid w:val="00E22508"/>
    <w:rsid w:val="00E309D7"/>
    <w:rsid w:val="00E30E54"/>
    <w:rsid w:val="00E379C5"/>
    <w:rsid w:val="00E40745"/>
    <w:rsid w:val="00E52F1E"/>
    <w:rsid w:val="00E70428"/>
    <w:rsid w:val="00E943BD"/>
    <w:rsid w:val="00E94AAD"/>
    <w:rsid w:val="00EA77BB"/>
    <w:rsid w:val="00EB33F9"/>
    <w:rsid w:val="00EE3E7A"/>
    <w:rsid w:val="00EF7C2A"/>
    <w:rsid w:val="00F00695"/>
    <w:rsid w:val="00F25D88"/>
    <w:rsid w:val="00F26DDB"/>
    <w:rsid w:val="00F3234C"/>
    <w:rsid w:val="00F528DD"/>
    <w:rsid w:val="00F57906"/>
    <w:rsid w:val="00F62CE2"/>
    <w:rsid w:val="00F658F9"/>
    <w:rsid w:val="00F7099C"/>
    <w:rsid w:val="00F802E7"/>
    <w:rsid w:val="00F91DED"/>
    <w:rsid w:val="00F95684"/>
    <w:rsid w:val="00FA5808"/>
    <w:rsid w:val="00FB2C15"/>
    <w:rsid w:val="00FD7507"/>
    <w:rsid w:val="00FE34C7"/>
    <w:rsid w:val="00FE6213"/>
    <w:rsid w:val="00FF00B3"/>
    <w:rsid w:val="04F25C61"/>
    <w:rsid w:val="05130BA3"/>
    <w:rsid w:val="0834240A"/>
    <w:rsid w:val="0FBA3488"/>
    <w:rsid w:val="1C3A42CE"/>
    <w:rsid w:val="23AF4C71"/>
    <w:rsid w:val="2462656F"/>
    <w:rsid w:val="24E32A79"/>
    <w:rsid w:val="276858DB"/>
    <w:rsid w:val="348953EB"/>
    <w:rsid w:val="45975022"/>
    <w:rsid w:val="4CA00072"/>
    <w:rsid w:val="54132291"/>
    <w:rsid w:val="54FB14A2"/>
    <w:rsid w:val="5C923519"/>
    <w:rsid w:val="5E4B3134"/>
    <w:rsid w:val="61B36A7A"/>
    <w:rsid w:val="64D80BE1"/>
    <w:rsid w:val="6BC5367F"/>
    <w:rsid w:val="763B0DFA"/>
    <w:rsid w:val="782800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qFormat="1" w:unhideWhenUsed="0" w:uiPriority="99" w:semiHidden="0" w:name="line number"/>
    <w:lsdException w:qFormat="1" w:unhideWhenUsed="0" w:uiPriority="0" w:semiHidden="0" w:name="page number"/>
    <w:lsdException w:qFormat="1" w:unhideWhenUsed="0" w:uiPriority="0" w:semiHidden="0" w:name="endnote reference"/>
    <w:lsdException w:qFormat="1"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60" w:lineRule="atLeast"/>
      <w:jc w:val="both"/>
    </w:pPr>
    <w:rPr>
      <w:rFonts w:ascii="Palatino Linotype" w:hAnsi="Palatino Linotype" w:eastAsia="宋体" w:cs="Times New Roman"/>
      <w:color w:val="000000"/>
      <w:lang w:val="en-US" w:eastAsia="zh-CN" w:bidi="ar-SA"/>
    </w:rPr>
  </w:style>
  <w:style w:type="paragraph" w:styleId="2">
    <w:name w:val="heading 2"/>
    <w:basedOn w:val="1"/>
    <w:next w:val="1"/>
    <w:link w:val="92"/>
    <w:autoRedefine/>
    <w:unhideWhenUsed/>
    <w:qFormat/>
    <w:uiPriority w:val="9"/>
    <w:pPr>
      <w:keepNext/>
      <w:keepLines/>
      <w:spacing w:before="360" w:after="240" w:line="240" w:lineRule="exact"/>
      <w:outlineLvl w:val="1"/>
    </w:pPr>
    <w:rPr>
      <w:rFonts w:ascii="Times New Roman" w:hAnsi="Times New Roman" w:eastAsia="FZSong_Superfont" w:cstheme="majorBidi"/>
      <w:b/>
      <w:bCs/>
      <w:color w:val="auto"/>
      <w:kern w:val="2"/>
      <w:sz w:val="24"/>
      <w:szCs w:val="32"/>
    </w:rPr>
  </w:style>
  <w:style w:type="paragraph" w:styleId="3">
    <w:name w:val="heading 3"/>
    <w:basedOn w:val="1"/>
    <w:next w:val="1"/>
    <w:link w:val="104"/>
    <w:semiHidden/>
    <w:unhideWhenUsed/>
    <w:qFormat/>
    <w:uiPriority w:val="9"/>
    <w:pPr>
      <w:keepNext/>
      <w:keepLines/>
      <w:spacing w:before="260" w:after="260" w:line="416" w:lineRule="atLeast"/>
      <w:outlineLvl w:val="2"/>
    </w:pPr>
    <w:rPr>
      <w:b/>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semiHidden/>
    <w:unhideWhenUsed/>
    <w:qFormat/>
    <w:uiPriority w:val="35"/>
    <w:rPr>
      <w:rFonts w:eastAsia="黑体" w:asciiTheme="majorHAnsi" w:hAnsiTheme="majorHAnsi" w:cstheme="majorBidi"/>
    </w:rPr>
  </w:style>
  <w:style w:type="paragraph" w:styleId="5">
    <w:name w:val="annotation text"/>
    <w:basedOn w:val="1"/>
    <w:link w:val="81"/>
    <w:qFormat/>
    <w:uiPriority w:val="0"/>
  </w:style>
  <w:style w:type="paragraph" w:styleId="6">
    <w:name w:val="Body Text"/>
    <w:link w:val="80"/>
    <w:qFormat/>
    <w:uiPriority w:val="0"/>
    <w:pPr>
      <w:spacing w:after="120" w:line="340" w:lineRule="atLeast"/>
      <w:jc w:val="both"/>
    </w:pPr>
    <w:rPr>
      <w:rFonts w:ascii="Palatino Linotype" w:hAnsi="Palatino Linotype" w:eastAsia="宋体" w:cs="Times New Roman"/>
      <w:color w:val="000000"/>
      <w:sz w:val="24"/>
      <w:lang w:val="en-US" w:eastAsia="de-DE" w:bidi="ar-SA"/>
    </w:rPr>
  </w:style>
  <w:style w:type="paragraph" w:styleId="7">
    <w:name w:val="endnote text"/>
    <w:basedOn w:val="1"/>
    <w:link w:val="83"/>
    <w:semiHidden/>
    <w:unhideWhenUsed/>
    <w:qFormat/>
    <w:uiPriority w:val="0"/>
    <w:pPr>
      <w:spacing w:line="240" w:lineRule="auto"/>
    </w:pPr>
  </w:style>
  <w:style w:type="paragraph" w:styleId="8">
    <w:name w:val="Balloon Text"/>
    <w:basedOn w:val="1"/>
    <w:link w:val="53"/>
    <w:qFormat/>
    <w:uiPriority w:val="99"/>
    <w:rPr>
      <w:rFonts w:cs="Tahoma"/>
      <w:szCs w:val="18"/>
    </w:rPr>
  </w:style>
  <w:style w:type="paragraph" w:styleId="9">
    <w:name w:val="footer"/>
    <w:basedOn w:val="1"/>
    <w:link w:val="56"/>
    <w:qFormat/>
    <w:uiPriority w:val="99"/>
    <w:pPr>
      <w:tabs>
        <w:tab w:val="center" w:pos="4153"/>
        <w:tab w:val="right" w:pos="8306"/>
      </w:tabs>
      <w:snapToGrid w:val="0"/>
      <w:spacing w:line="240" w:lineRule="atLeast"/>
    </w:pPr>
    <w:rPr>
      <w:szCs w:val="18"/>
    </w:rPr>
  </w:style>
  <w:style w:type="paragraph" w:styleId="10">
    <w:name w:val="header"/>
    <w:basedOn w:val="1"/>
    <w:link w:val="32"/>
    <w:qFormat/>
    <w:uiPriority w:val="99"/>
    <w:pPr>
      <w:pBdr>
        <w:bottom w:val="single" w:color="auto" w:sz="6" w:space="1"/>
      </w:pBdr>
      <w:tabs>
        <w:tab w:val="center" w:pos="4153"/>
        <w:tab w:val="right" w:pos="8306"/>
      </w:tabs>
      <w:snapToGrid w:val="0"/>
      <w:spacing w:line="240" w:lineRule="atLeast"/>
      <w:jc w:val="center"/>
    </w:pPr>
    <w:rPr>
      <w:szCs w:val="18"/>
    </w:rPr>
  </w:style>
  <w:style w:type="paragraph" w:styleId="11">
    <w:name w:val="footnote text"/>
    <w:basedOn w:val="1"/>
    <w:link w:val="84"/>
    <w:semiHidden/>
    <w:unhideWhenUsed/>
    <w:qFormat/>
    <w:uiPriority w:val="0"/>
    <w:pPr>
      <w:spacing w:line="240" w:lineRule="auto"/>
    </w:pPr>
  </w:style>
  <w:style w:type="paragraph" w:styleId="12">
    <w:name w:val="Normal (Web)"/>
    <w:basedOn w:val="1"/>
    <w:qFormat/>
    <w:uiPriority w:val="99"/>
    <w:rPr>
      <w:szCs w:val="24"/>
    </w:rPr>
  </w:style>
  <w:style w:type="paragraph" w:styleId="13">
    <w:name w:val="annotation subject"/>
    <w:basedOn w:val="5"/>
    <w:next w:val="5"/>
    <w:link w:val="82"/>
    <w:qFormat/>
    <w:uiPriority w:val="0"/>
    <w:rPr>
      <w:b/>
      <w:bCs/>
    </w:rPr>
  </w:style>
  <w:style w:type="table" w:styleId="15">
    <w:name w:val="Table Grid"/>
    <w:basedOn w:val="14"/>
    <w:qFormat/>
    <w:uiPriority w:val="59"/>
    <w:pPr>
      <w:spacing w:line="260" w:lineRule="atLeast"/>
      <w:jc w:val="both"/>
    </w:pPr>
    <w:rPr>
      <w:rFonts w:ascii="Palatino Linotype" w:hAnsi="Palatino Linotype"/>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endnote reference"/>
    <w:qFormat/>
    <w:uiPriority w:val="0"/>
    <w:rPr>
      <w:vertAlign w:val="superscript"/>
    </w:rPr>
  </w:style>
  <w:style w:type="character" w:styleId="18">
    <w:name w:val="page number"/>
    <w:qFormat/>
    <w:uiPriority w:val="0"/>
  </w:style>
  <w:style w:type="character" w:styleId="19">
    <w:name w:val="FollowedHyperlink"/>
    <w:qFormat/>
    <w:uiPriority w:val="0"/>
    <w:rPr>
      <w:color w:val="954F72"/>
      <w:u w:val="single"/>
    </w:rPr>
  </w:style>
  <w:style w:type="character" w:styleId="20">
    <w:name w:val="line number"/>
    <w:qFormat/>
    <w:uiPriority w:val="99"/>
    <w:rPr>
      <w:rFonts w:ascii="Palatino Linotype" w:hAnsi="Palatino Linotype"/>
      <w:sz w:val="16"/>
    </w:rPr>
  </w:style>
  <w:style w:type="character" w:styleId="21">
    <w:name w:val="Hyperlink"/>
    <w:qFormat/>
    <w:uiPriority w:val="99"/>
    <w:rPr>
      <w:color w:val="0000FF"/>
      <w:u w:val="single"/>
    </w:rPr>
  </w:style>
  <w:style w:type="character" w:styleId="22">
    <w:name w:val="annotation reference"/>
    <w:qFormat/>
    <w:uiPriority w:val="0"/>
    <w:rPr>
      <w:sz w:val="21"/>
      <w:szCs w:val="21"/>
    </w:rPr>
  </w:style>
  <w:style w:type="paragraph" w:customStyle="1" w:styleId="23">
    <w:name w:val="MDPI_1.1_article_type"/>
    <w:next w:val="1"/>
    <w:qFormat/>
    <w:uiPriority w:val="0"/>
    <w:pPr>
      <w:adjustRightInd w:val="0"/>
      <w:snapToGrid w:val="0"/>
      <w:spacing w:before="240"/>
    </w:pPr>
    <w:rPr>
      <w:rFonts w:ascii="Palatino Linotype" w:hAnsi="Palatino Linotype" w:eastAsia="Times New Roman" w:cs="Times New Roman"/>
      <w:i/>
      <w:snapToGrid w:val="0"/>
      <w:color w:val="000000"/>
      <w:szCs w:val="22"/>
      <w:lang w:val="en-US" w:eastAsia="de-DE" w:bidi="en-US"/>
    </w:rPr>
  </w:style>
  <w:style w:type="paragraph" w:customStyle="1" w:styleId="24">
    <w:name w:val="MDPI_1.2_title"/>
    <w:next w:val="1"/>
    <w:qFormat/>
    <w:uiPriority w:val="0"/>
    <w:pPr>
      <w:adjustRightInd w:val="0"/>
      <w:snapToGrid w:val="0"/>
      <w:spacing w:after="240" w:line="240" w:lineRule="atLeast"/>
    </w:pPr>
    <w:rPr>
      <w:rFonts w:ascii="Palatino Linotype" w:hAnsi="Palatino Linotype" w:eastAsia="Times New Roman" w:cs="Times New Roman"/>
      <w:b/>
      <w:snapToGrid w:val="0"/>
      <w:color w:val="000000"/>
      <w:sz w:val="36"/>
      <w:lang w:val="en-US" w:eastAsia="de-DE" w:bidi="en-US"/>
    </w:rPr>
  </w:style>
  <w:style w:type="paragraph" w:customStyle="1" w:styleId="25">
    <w:name w:val="MDPI_1.3_authornames"/>
    <w:next w:val="1"/>
    <w:qFormat/>
    <w:uiPriority w:val="0"/>
    <w:pPr>
      <w:adjustRightInd w:val="0"/>
      <w:snapToGrid w:val="0"/>
      <w:spacing w:after="360" w:line="260" w:lineRule="atLeast"/>
    </w:pPr>
    <w:rPr>
      <w:rFonts w:ascii="Palatino Linotype" w:hAnsi="Palatino Linotype" w:eastAsia="Times New Roman" w:cs="Times New Roman"/>
      <w:b/>
      <w:color w:val="000000"/>
      <w:szCs w:val="22"/>
      <w:lang w:val="en-US" w:eastAsia="de-DE" w:bidi="en-US"/>
    </w:rPr>
  </w:style>
  <w:style w:type="paragraph" w:customStyle="1" w:styleId="26">
    <w:name w:val="MDPI_1.4_history"/>
    <w:basedOn w:val="1"/>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27">
    <w:name w:val="MDPI_1.6_affiliation"/>
    <w:qFormat/>
    <w:uiPriority w:val="0"/>
    <w:pPr>
      <w:adjustRightInd w:val="0"/>
      <w:snapToGrid w:val="0"/>
      <w:spacing w:line="200" w:lineRule="atLeast"/>
      <w:ind w:left="2806" w:hanging="198"/>
    </w:pPr>
    <w:rPr>
      <w:rFonts w:ascii="Palatino Linotype" w:hAnsi="Palatino Linotype" w:eastAsia="Times New Roman" w:cs="Times New Roman"/>
      <w:color w:val="000000"/>
      <w:sz w:val="16"/>
      <w:szCs w:val="18"/>
      <w:lang w:val="en-US" w:eastAsia="de-DE" w:bidi="en-US"/>
    </w:rPr>
  </w:style>
  <w:style w:type="paragraph" w:customStyle="1" w:styleId="28">
    <w:name w:val="MDPI_1.7_abstract"/>
    <w:next w:val="1"/>
    <w:qFormat/>
    <w:uiPriority w:val="0"/>
    <w:pPr>
      <w:adjustRightInd w:val="0"/>
      <w:snapToGrid w:val="0"/>
      <w:spacing w:before="240" w:line="260" w:lineRule="atLeast"/>
      <w:ind w:left="2608"/>
      <w:jc w:val="both"/>
    </w:pPr>
    <w:rPr>
      <w:rFonts w:ascii="Palatino Linotype" w:hAnsi="Palatino Linotype" w:eastAsia="Times New Roman" w:cs="Times New Roman"/>
      <w:color w:val="000000"/>
      <w:sz w:val="18"/>
      <w:szCs w:val="22"/>
      <w:lang w:val="en-US" w:eastAsia="de-DE" w:bidi="en-US"/>
    </w:rPr>
  </w:style>
  <w:style w:type="paragraph" w:customStyle="1" w:styleId="29">
    <w:name w:val="MDPI_1.8_keywords"/>
    <w:next w:val="1"/>
    <w:qFormat/>
    <w:uiPriority w:val="0"/>
    <w:pPr>
      <w:adjustRightInd w:val="0"/>
      <w:snapToGrid w:val="0"/>
      <w:spacing w:before="240" w:line="260" w:lineRule="atLeast"/>
      <w:ind w:left="2608"/>
      <w:jc w:val="both"/>
    </w:pPr>
    <w:rPr>
      <w:rFonts w:ascii="Palatino Linotype" w:hAnsi="Palatino Linotype" w:eastAsia="Times New Roman" w:cs="Times New Roman"/>
      <w:snapToGrid w:val="0"/>
      <w:color w:val="000000"/>
      <w:sz w:val="18"/>
      <w:szCs w:val="22"/>
      <w:lang w:val="en-US" w:eastAsia="de-DE" w:bidi="en-US"/>
    </w:rPr>
  </w:style>
  <w:style w:type="paragraph" w:customStyle="1" w:styleId="30">
    <w:name w:val="MDPI_1.9_line"/>
    <w:qFormat/>
    <w:uiPriority w:val="0"/>
    <w:pPr>
      <w:pBdr>
        <w:bottom w:val="single" w:color="auto" w:sz="6" w:space="1"/>
      </w:pBdr>
      <w:adjustRightInd w:val="0"/>
      <w:snapToGrid w:val="0"/>
      <w:spacing w:after="480" w:line="260" w:lineRule="atLeast"/>
      <w:ind w:left="2608"/>
      <w:jc w:val="both"/>
    </w:pPr>
    <w:rPr>
      <w:rFonts w:ascii="Palatino Linotype" w:hAnsi="Palatino Linotype" w:eastAsia="Times New Roman" w:cs="Cordia New"/>
      <w:color w:val="000000"/>
      <w:szCs w:val="24"/>
      <w:lang w:val="en-US" w:eastAsia="de-DE" w:bidi="en-US"/>
    </w:rPr>
  </w:style>
  <w:style w:type="table" w:customStyle="1" w:styleId="31">
    <w:name w:val="M_deck_5_table_body_three_lines"/>
    <w:basedOn w:val="14"/>
    <w:qFormat/>
    <w:uiPriority w:val="99"/>
    <w:pPr>
      <w:adjustRightInd w:val="0"/>
      <w:snapToGrid w:val="0"/>
      <w:spacing w:line="300" w:lineRule="exact"/>
      <w:jc w:val="center"/>
    </w:pPr>
    <w:rPr>
      <w:rFonts w:ascii="Times New Roman" w:hAnsi="Times New Roman"/>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jc w:val="center"/>
        <w:outlineLvl w:val="9"/>
      </w:pPr>
      <w:rPr>
        <w:rFonts w:ascii="Times New Roman" w:hAnsi="Times New Roman" w:eastAsia="Times New Roman"/>
        <w:b w:val="0"/>
        <w:i w:val="0"/>
        <w:snapToGrid w:val="0"/>
        <w:sz w:val="22"/>
      </w:rPr>
      <w:tcPr>
        <w:tcBorders>
          <w:top w:val="single" w:color="auto" w:sz="8" w:space="0"/>
          <w:left w:val="nil"/>
          <w:bottom w:val="single" w:color="auto" w:sz="4" w:space="0"/>
          <w:right w:val="nil"/>
          <w:insideH w:val="nil"/>
          <w:insideV w:val="nil"/>
          <w:tl2br w:val="nil"/>
          <w:tr2bl w:val="nil"/>
        </w:tcBorders>
      </w:tcPr>
    </w:tblStylePr>
  </w:style>
  <w:style w:type="character" w:customStyle="1" w:styleId="32">
    <w:name w:val="页眉 字符"/>
    <w:link w:val="10"/>
    <w:qFormat/>
    <w:uiPriority w:val="99"/>
    <w:rPr>
      <w:rFonts w:ascii="Palatino Linotype" w:hAnsi="Palatino Linotype"/>
      <w:color w:val="000000"/>
      <w:szCs w:val="18"/>
    </w:rPr>
  </w:style>
  <w:style w:type="paragraph" w:customStyle="1" w:styleId="33">
    <w:name w:val="MDPI_header_journal_logo"/>
    <w:qFormat/>
    <w:uiPriority w:val="0"/>
    <w:pPr>
      <w:adjustRightInd w:val="0"/>
      <w:snapToGrid w:val="0"/>
      <w:spacing w:line="260" w:lineRule="atLeast"/>
      <w:jc w:val="both"/>
    </w:pPr>
    <w:rPr>
      <w:rFonts w:ascii="Palatino Linotype" w:hAnsi="Palatino Linotype" w:eastAsia="Times New Roman" w:cs="Times New Roman"/>
      <w:i/>
      <w:color w:val="000000"/>
      <w:sz w:val="24"/>
      <w:szCs w:val="22"/>
      <w:lang w:val="en-US" w:eastAsia="de-CH" w:bidi="ar-SA"/>
    </w:rPr>
  </w:style>
  <w:style w:type="paragraph" w:customStyle="1" w:styleId="34">
    <w:name w:val="MDPI_3.2_text_no_indent"/>
    <w:basedOn w:val="35"/>
    <w:qFormat/>
    <w:uiPriority w:val="0"/>
    <w:pPr>
      <w:ind w:firstLine="0"/>
    </w:pPr>
  </w:style>
  <w:style w:type="paragraph" w:customStyle="1" w:styleId="35">
    <w:name w:val="MDPI_3.1_text"/>
    <w:link w:val="90"/>
    <w:qFormat/>
    <w:uiPriority w:val="0"/>
    <w:pPr>
      <w:adjustRightInd w:val="0"/>
      <w:snapToGrid w:val="0"/>
      <w:spacing w:line="228" w:lineRule="auto"/>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36">
    <w:name w:val="MDPI_3.3_text_space_after"/>
    <w:qFormat/>
    <w:uiPriority w:val="0"/>
    <w:pPr>
      <w:adjustRightInd w:val="0"/>
      <w:snapToGrid w:val="0"/>
      <w:spacing w:after="240" w:line="228" w:lineRule="auto"/>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37">
    <w:name w:val="MDPI_3.5_text_before_list"/>
    <w:qFormat/>
    <w:uiPriority w:val="0"/>
    <w:pPr>
      <w:adjustRightInd w:val="0"/>
      <w:snapToGrid w:val="0"/>
      <w:spacing w:line="228" w:lineRule="auto"/>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38">
    <w:name w:val="MDPI_3.6_text_after_list"/>
    <w:qFormat/>
    <w:uiPriority w:val="0"/>
    <w:pPr>
      <w:adjustRightInd w:val="0"/>
      <w:snapToGrid w:val="0"/>
      <w:spacing w:before="120" w:line="228" w:lineRule="auto"/>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39">
    <w:name w:val="MDPI_3.7_itemize"/>
    <w:qFormat/>
    <w:uiPriority w:val="0"/>
    <w:pPr>
      <w:numPr>
        <w:ilvl w:val="0"/>
        <w:numId w:val="1"/>
      </w:numPr>
      <w:adjustRightInd w:val="0"/>
      <w:snapToGrid w:val="0"/>
      <w:spacing w:line="228" w:lineRule="auto"/>
      <w:jc w:val="both"/>
    </w:pPr>
    <w:rPr>
      <w:rFonts w:ascii="Palatino Linotype" w:hAnsi="Palatino Linotype" w:eastAsia="Times New Roman" w:cs="Times New Roman"/>
      <w:color w:val="000000"/>
      <w:szCs w:val="22"/>
      <w:lang w:val="en-US" w:eastAsia="de-DE" w:bidi="en-US"/>
    </w:rPr>
  </w:style>
  <w:style w:type="paragraph" w:customStyle="1" w:styleId="40">
    <w:name w:val="MDPI_3.8_bullet"/>
    <w:qFormat/>
    <w:uiPriority w:val="0"/>
    <w:pPr>
      <w:numPr>
        <w:ilvl w:val="0"/>
        <w:numId w:val="2"/>
      </w:numPr>
      <w:adjustRightInd w:val="0"/>
      <w:snapToGrid w:val="0"/>
      <w:spacing w:line="228" w:lineRule="auto"/>
      <w:jc w:val="both"/>
    </w:pPr>
    <w:rPr>
      <w:rFonts w:ascii="Palatino Linotype" w:hAnsi="Palatino Linotype" w:eastAsia="Times New Roman" w:cs="Times New Roman"/>
      <w:color w:val="000000"/>
      <w:szCs w:val="22"/>
      <w:lang w:val="en-US" w:eastAsia="de-DE" w:bidi="en-US"/>
    </w:rPr>
  </w:style>
  <w:style w:type="paragraph" w:customStyle="1" w:styleId="41">
    <w:name w:val="MDPI_3.9_equation"/>
    <w:qFormat/>
    <w:uiPriority w:val="0"/>
    <w:pPr>
      <w:adjustRightInd w:val="0"/>
      <w:snapToGrid w:val="0"/>
      <w:spacing w:before="120" w:after="120" w:line="260" w:lineRule="atLeast"/>
      <w:ind w:left="709"/>
      <w:jc w:val="center"/>
    </w:pPr>
    <w:rPr>
      <w:rFonts w:ascii="Palatino Linotype" w:hAnsi="Palatino Linotype" w:eastAsia="Times New Roman" w:cs="Times New Roman"/>
      <w:snapToGrid w:val="0"/>
      <w:color w:val="000000"/>
      <w:szCs w:val="22"/>
      <w:lang w:val="en-US" w:eastAsia="de-DE" w:bidi="en-US"/>
    </w:rPr>
  </w:style>
  <w:style w:type="paragraph" w:customStyle="1" w:styleId="42">
    <w:name w:val="MDPI_3.a_equation_number"/>
    <w:qFormat/>
    <w:uiPriority w:val="0"/>
    <w:pPr>
      <w:spacing w:before="120" w:after="120"/>
      <w:jc w:val="right"/>
    </w:pPr>
    <w:rPr>
      <w:rFonts w:ascii="Palatino Linotype" w:hAnsi="Palatino Linotype" w:eastAsia="Times New Roman" w:cs="Times New Roman"/>
      <w:snapToGrid w:val="0"/>
      <w:color w:val="000000"/>
      <w:szCs w:val="22"/>
      <w:lang w:val="en-US" w:eastAsia="de-DE" w:bidi="en-US"/>
    </w:rPr>
  </w:style>
  <w:style w:type="paragraph" w:customStyle="1" w:styleId="43">
    <w:name w:val="MDPI_4.1_table_caption"/>
    <w:qFormat/>
    <w:uiPriority w:val="0"/>
    <w:pPr>
      <w:adjustRightInd w:val="0"/>
      <w:snapToGrid w:val="0"/>
      <w:spacing w:before="240" w:after="120" w:line="228" w:lineRule="auto"/>
      <w:ind w:left="2608"/>
      <w:jc w:val="both"/>
    </w:pPr>
    <w:rPr>
      <w:rFonts w:ascii="Palatino Linotype" w:hAnsi="Palatino Linotype" w:eastAsia="Times New Roman" w:cs="Cordia New"/>
      <w:color w:val="000000"/>
      <w:sz w:val="18"/>
      <w:szCs w:val="22"/>
      <w:lang w:val="en-US" w:eastAsia="de-DE" w:bidi="en-US"/>
    </w:rPr>
  </w:style>
  <w:style w:type="paragraph" w:customStyle="1" w:styleId="44">
    <w:name w:val="MDPI_4.2_table_body"/>
    <w:qFormat/>
    <w:uiPriority w:val="0"/>
    <w:pPr>
      <w:adjustRightInd w:val="0"/>
      <w:snapToGrid w:val="0"/>
      <w:spacing w:line="260" w:lineRule="atLeast"/>
      <w:jc w:val="center"/>
    </w:pPr>
    <w:rPr>
      <w:rFonts w:ascii="Palatino Linotype" w:hAnsi="Palatino Linotype" w:eastAsia="Times New Roman" w:cs="Times New Roman"/>
      <w:snapToGrid w:val="0"/>
      <w:color w:val="000000"/>
      <w:lang w:val="en-US" w:eastAsia="de-DE" w:bidi="en-US"/>
    </w:rPr>
  </w:style>
  <w:style w:type="paragraph" w:customStyle="1" w:styleId="45">
    <w:name w:val="MDPI_4.3_table_footer"/>
    <w:next w:val="35"/>
    <w:qFormat/>
    <w:uiPriority w:val="0"/>
    <w:pPr>
      <w:adjustRightInd w:val="0"/>
      <w:snapToGrid w:val="0"/>
      <w:spacing w:line="228" w:lineRule="auto"/>
      <w:ind w:left="2608"/>
      <w:jc w:val="both"/>
    </w:pPr>
    <w:rPr>
      <w:rFonts w:ascii="Palatino Linotype" w:hAnsi="Palatino Linotype" w:eastAsia="Times New Roman" w:cs="Cordia New"/>
      <w:color w:val="000000"/>
      <w:sz w:val="18"/>
      <w:szCs w:val="22"/>
      <w:lang w:val="en-US" w:eastAsia="de-DE" w:bidi="en-US"/>
    </w:rPr>
  </w:style>
  <w:style w:type="paragraph" w:customStyle="1" w:styleId="46">
    <w:name w:val="MDPI_5.1_figure_caption"/>
    <w:qFormat/>
    <w:uiPriority w:val="0"/>
    <w:pPr>
      <w:adjustRightInd w:val="0"/>
      <w:snapToGrid w:val="0"/>
      <w:spacing w:before="120" w:after="240" w:line="228" w:lineRule="auto"/>
      <w:ind w:left="2608"/>
      <w:jc w:val="both"/>
    </w:pPr>
    <w:rPr>
      <w:rFonts w:ascii="Palatino Linotype" w:hAnsi="Palatino Linotype" w:eastAsia="Times New Roman" w:cs="Times New Roman"/>
      <w:color w:val="000000"/>
      <w:sz w:val="18"/>
      <w:lang w:val="en-US" w:eastAsia="de-DE" w:bidi="en-US"/>
    </w:rPr>
  </w:style>
  <w:style w:type="paragraph" w:customStyle="1" w:styleId="47">
    <w:name w:val="MDPI_5.2_figure"/>
    <w:qFormat/>
    <w:uiPriority w:val="0"/>
    <w:pPr>
      <w:adjustRightInd w:val="0"/>
      <w:snapToGrid w:val="0"/>
      <w:spacing w:before="240" w:after="120"/>
      <w:jc w:val="center"/>
    </w:pPr>
    <w:rPr>
      <w:rFonts w:ascii="Palatino Linotype" w:hAnsi="Palatino Linotype" w:eastAsia="Times New Roman" w:cs="Times New Roman"/>
      <w:snapToGrid w:val="0"/>
      <w:color w:val="000000"/>
      <w:lang w:val="en-US" w:eastAsia="de-DE" w:bidi="en-US"/>
    </w:rPr>
  </w:style>
  <w:style w:type="paragraph" w:customStyle="1" w:styleId="48">
    <w:name w:val="MDPI_footer_firstpage"/>
    <w:qFormat/>
    <w:uiPriority w:val="0"/>
    <w:pPr>
      <w:tabs>
        <w:tab w:val="right" w:pos="8845"/>
      </w:tabs>
      <w:spacing w:line="160" w:lineRule="exact"/>
    </w:pPr>
    <w:rPr>
      <w:rFonts w:ascii="Palatino Linotype" w:hAnsi="Palatino Linotype" w:eastAsia="Times New Roman" w:cs="Times New Roman"/>
      <w:color w:val="000000"/>
      <w:sz w:val="16"/>
      <w:lang w:val="en-US" w:eastAsia="de-DE" w:bidi="ar-SA"/>
    </w:rPr>
  </w:style>
  <w:style w:type="paragraph" w:customStyle="1" w:styleId="49">
    <w:name w:val="MDPI_2.3_heading3"/>
    <w:qFormat/>
    <w:uiPriority w:val="0"/>
    <w:pPr>
      <w:adjustRightInd w:val="0"/>
      <w:snapToGrid w:val="0"/>
      <w:spacing w:before="60" w:after="60" w:line="228" w:lineRule="auto"/>
      <w:ind w:left="2608"/>
      <w:outlineLvl w:val="2"/>
    </w:pPr>
    <w:rPr>
      <w:rFonts w:ascii="Palatino Linotype" w:hAnsi="Palatino Linotype" w:eastAsia="Times New Roman" w:cs="Times New Roman"/>
      <w:snapToGrid w:val="0"/>
      <w:color w:val="000000"/>
      <w:szCs w:val="22"/>
      <w:lang w:val="en-US" w:eastAsia="de-DE" w:bidi="en-US"/>
    </w:rPr>
  </w:style>
  <w:style w:type="paragraph" w:customStyle="1" w:styleId="50">
    <w:name w:val="MDPI_2.1_heading1"/>
    <w:qFormat/>
    <w:uiPriority w:val="0"/>
    <w:pPr>
      <w:adjustRightInd w:val="0"/>
      <w:snapToGrid w:val="0"/>
      <w:spacing w:before="240" w:after="60" w:line="228" w:lineRule="auto"/>
      <w:ind w:left="2608"/>
      <w:outlineLvl w:val="0"/>
    </w:pPr>
    <w:rPr>
      <w:rFonts w:ascii="Palatino Linotype" w:hAnsi="Palatino Linotype" w:eastAsia="Times New Roman" w:cs="Times New Roman"/>
      <w:b/>
      <w:snapToGrid w:val="0"/>
      <w:color w:val="000000"/>
      <w:szCs w:val="22"/>
      <w:lang w:val="en-US" w:eastAsia="de-DE" w:bidi="en-US"/>
    </w:rPr>
  </w:style>
  <w:style w:type="paragraph" w:customStyle="1" w:styleId="51">
    <w:name w:val="MDPI_2.2_heading2"/>
    <w:qFormat/>
    <w:uiPriority w:val="0"/>
    <w:pPr>
      <w:adjustRightInd w:val="0"/>
      <w:snapToGrid w:val="0"/>
      <w:spacing w:before="60" w:after="60" w:line="228" w:lineRule="auto"/>
      <w:ind w:left="2608"/>
      <w:outlineLvl w:val="1"/>
    </w:pPr>
    <w:rPr>
      <w:rFonts w:ascii="Palatino Linotype" w:hAnsi="Palatino Linotype" w:eastAsia="Times New Roman" w:cs="Times New Roman"/>
      <w:i/>
      <w:snapToGrid w:val="0"/>
      <w:color w:val="000000"/>
      <w:szCs w:val="22"/>
      <w:lang w:val="en-US" w:eastAsia="de-DE" w:bidi="en-US"/>
    </w:rPr>
  </w:style>
  <w:style w:type="paragraph" w:customStyle="1" w:styleId="52">
    <w:name w:val="MDPI_7.1_References"/>
    <w:qFormat/>
    <w:uiPriority w:val="0"/>
    <w:pPr>
      <w:numPr>
        <w:ilvl w:val="0"/>
        <w:numId w:val="3"/>
      </w:numPr>
      <w:adjustRightInd w:val="0"/>
      <w:snapToGrid w:val="0"/>
      <w:spacing w:line="228" w:lineRule="auto"/>
      <w:jc w:val="both"/>
    </w:pPr>
    <w:rPr>
      <w:rFonts w:ascii="Palatino Linotype" w:hAnsi="Palatino Linotype" w:eastAsia="Times New Roman" w:cs="Times New Roman"/>
      <w:color w:val="000000"/>
      <w:sz w:val="18"/>
      <w:lang w:val="en-US" w:eastAsia="de-DE" w:bidi="en-US"/>
    </w:rPr>
  </w:style>
  <w:style w:type="character" w:customStyle="1" w:styleId="53">
    <w:name w:val="批注框文本 字符"/>
    <w:link w:val="8"/>
    <w:qFormat/>
    <w:uiPriority w:val="99"/>
    <w:rPr>
      <w:rFonts w:ascii="Palatino Linotype" w:hAnsi="Palatino Linotype" w:cs="Tahoma"/>
      <w:color w:val="000000"/>
      <w:szCs w:val="18"/>
    </w:rPr>
  </w:style>
  <w:style w:type="table" w:customStyle="1" w:styleId="54">
    <w:name w:val="MDPI_4.1_three_line_table"/>
    <w:basedOn w:val="14"/>
    <w:qFormat/>
    <w:uiPriority w:val="99"/>
    <w:pPr>
      <w:adjustRightInd w:val="0"/>
      <w:snapToGrid w:val="0"/>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character" w:customStyle="1" w:styleId="55">
    <w:name w:val="Unresolved Mention"/>
    <w:semiHidden/>
    <w:unhideWhenUsed/>
    <w:qFormat/>
    <w:uiPriority w:val="99"/>
    <w:rPr>
      <w:color w:val="605E5C"/>
      <w:shd w:val="clear" w:color="auto" w:fill="E1DFDD"/>
    </w:rPr>
  </w:style>
  <w:style w:type="character" w:customStyle="1" w:styleId="56">
    <w:name w:val="页脚 字符"/>
    <w:link w:val="9"/>
    <w:qFormat/>
    <w:uiPriority w:val="99"/>
    <w:rPr>
      <w:rFonts w:ascii="Palatino Linotype" w:hAnsi="Palatino Linotype"/>
      <w:color w:val="000000"/>
      <w:szCs w:val="18"/>
    </w:rPr>
  </w:style>
  <w:style w:type="table" w:customStyle="1" w:styleId="57">
    <w:name w:val="Plain Table 4"/>
    <w:basedOn w:val="14"/>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paragraph" w:customStyle="1" w:styleId="58">
    <w:name w:val="MDPI_3.4_text_space_before"/>
    <w:qFormat/>
    <w:uiPriority w:val="0"/>
    <w:pPr>
      <w:adjustRightInd w:val="0"/>
      <w:snapToGrid w:val="0"/>
      <w:spacing w:before="240" w:line="228" w:lineRule="auto"/>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59">
    <w:name w:val="MDPI_8.1_theorem"/>
    <w:qFormat/>
    <w:uiPriority w:val="0"/>
    <w:pPr>
      <w:adjustRightInd w:val="0"/>
      <w:snapToGrid w:val="0"/>
      <w:spacing w:line="228" w:lineRule="auto"/>
      <w:ind w:left="2608"/>
      <w:jc w:val="both"/>
    </w:pPr>
    <w:rPr>
      <w:rFonts w:ascii="Palatino Linotype" w:hAnsi="Palatino Linotype" w:eastAsia="Times New Roman" w:cs="Times New Roman"/>
      <w:i/>
      <w:snapToGrid w:val="0"/>
      <w:color w:val="000000"/>
      <w:szCs w:val="22"/>
      <w:lang w:val="en-US" w:eastAsia="de-DE" w:bidi="en-US"/>
    </w:rPr>
  </w:style>
  <w:style w:type="paragraph" w:customStyle="1" w:styleId="60">
    <w:name w:val="MDPI_8.2_proof"/>
    <w:qFormat/>
    <w:uiPriority w:val="0"/>
    <w:pPr>
      <w:adjustRightInd w:val="0"/>
      <w:snapToGrid w:val="0"/>
      <w:spacing w:line="228" w:lineRule="auto"/>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61">
    <w:name w:val="MDPI_6.1_Citation"/>
    <w:qFormat/>
    <w:uiPriority w:val="0"/>
    <w:pPr>
      <w:adjustRightInd w:val="0"/>
      <w:snapToGrid w:val="0"/>
      <w:spacing w:line="240" w:lineRule="atLeast"/>
      <w:ind w:right="113"/>
    </w:pPr>
    <w:rPr>
      <w:rFonts w:ascii="Palatino Linotype" w:hAnsi="Palatino Linotype" w:eastAsia="宋体" w:cs="Cordia New"/>
      <w:sz w:val="14"/>
      <w:szCs w:val="22"/>
      <w:lang w:val="en-US" w:eastAsia="zh-CN" w:bidi="ar-SA"/>
    </w:rPr>
  </w:style>
  <w:style w:type="paragraph" w:customStyle="1" w:styleId="62">
    <w:name w:val="MDPI_6.2_BackMatter"/>
    <w:qFormat/>
    <w:uiPriority w:val="0"/>
    <w:pPr>
      <w:adjustRightInd w:val="0"/>
      <w:snapToGrid w:val="0"/>
      <w:spacing w:after="120" w:line="228" w:lineRule="auto"/>
      <w:ind w:left="2608"/>
      <w:jc w:val="both"/>
    </w:pPr>
    <w:rPr>
      <w:rFonts w:ascii="Palatino Linotype" w:hAnsi="Palatino Linotype" w:eastAsia="Times New Roman" w:cs="Times New Roman"/>
      <w:snapToGrid w:val="0"/>
      <w:color w:val="000000"/>
      <w:sz w:val="18"/>
      <w:lang w:val="en-US" w:eastAsia="en-US" w:bidi="en-US"/>
    </w:rPr>
  </w:style>
  <w:style w:type="paragraph" w:customStyle="1" w:styleId="63">
    <w:name w:val="MDPI_6.3_Notes"/>
    <w:qFormat/>
    <w:uiPriority w:val="0"/>
    <w:pPr>
      <w:adjustRightInd w:val="0"/>
      <w:snapToGrid w:val="0"/>
      <w:spacing w:after="120" w:line="240" w:lineRule="atLeast"/>
      <w:ind w:right="113"/>
    </w:pPr>
    <w:rPr>
      <w:rFonts w:ascii="Palatino Linotype" w:hAnsi="Palatino Linotype" w:eastAsia="宋体" w:cs="Times New Roman"/>
      <w:snapToGrid w:val="0"/>
      <w:color w:val="000000"/>
      <w:sz w:val="14"/>
      <w:lang w:val="en-US" w:eastAsia="en-US" w:bidi="en-US"/>
    </w:rPr>
  </w:style>
  <w:style w:type="paragraph" w:customStyle="1" w:styleId="64">
    <w:name w:val="MDPI_1.5_academic_editor"/>
    <w:qFormat/>
    <w:uiPriority w:val="0"/>
    <w:pPr>
      <w:adjustRightInd w:val="0"/>
      <w:snapToGrid w:val="0"/>
      <w:spacing w:before="120" w:line="240" w:lineRule="atLeast"/>
      <w:ind w:right="113"/>
    </w:pPr>
    <w:rPr>
      <w:rFonts w:ascii="Palatino Linotype" w:hAnsi="Palatino Linotype" w:eastAsia="Times New Roman" w:cs="Times New Roman"/>
      <w:color w:val="000000"/>
      <w:sz w:val="14"/>
      <w:szCs w:val="22"/>
      <w:lang w:val="en-US" w:eastAsia="de-DE" w:bidi="en-US"/>
    </w:rPr>
  </w:style>
  <w:style w:type="paragraph" w:customStyle="1" w:styleId="65">
    <w:name w:val="MDPI_1.9_classification"/>
    <w:qFormat/>
    <w:uiPriority w:val="0"/>
    <w:pPr>
      <w:spacing w:before="240" w:line="260" w:lineRule="atLeast"/>
      <w:ind w:left="113"/>
      <w:jc w:val="both"/>
    </w:pPr>
    <w:rPr>
      <w:rFonts w:ascii="Palatino Linotype" w:hAnsi="Palatino Linotype" w:eastAsia="Times New Roman" w:cs="Times New Roman"/>
      <w:b/>
      <w:color w:val="000000"/>
      <w:szCs w:val="22"/>
      <w:lang w:val="en-US" w:eastAsia="de-DE" w:bidi="en-US"/>
    </w:rPr>
  </w:style>
  <w:style w:type="paragraph" w:customStyle="1" w:styleId="66">
    <w:name w:val="MDPI_4.1.1_one_table_caption"/>
    <w:qFormat/>
    <w:uiPriority w:val="0"/>
    <w:pPr>
      <w:adjustRightInd w:val="0"/>
      <w:snapToGrid w:val="0"/>
      <w:spacing w:before="240" w:after="120" w:line="260" w:lineRule="atLeast"/>
      <w:jc w:val="center"/>
    </w:pPr>
    <w:rPr>
      <w:rFonts w:ascii="Palatino Linotype" w:hAnsi="Palatino Linotype" w:eastAsia="宋体" w:cs="Cordia New"/>
      <w:color w:val="000000"/>
      <w:sz w:val="18"/>
      <w:szCs w:val="22"/>
      <w:lang w:val="en-US" w:eastAsia="zh-CN" w:bidi="en-US"/>
    </w:rPr>
  </w:style>
  <w:style w:type="paragraph" w:customStyle="1" w:styleId="67">
    <w:name w:val="MDPI_5.1.1_one_figure_caption"/>
    <w:qFormat/>
    <w:uiPriority w:val="0"/>
    <w:pPr>
      <w:adjustRightInd w:val="0"/>
      <w:snapToGrid w:val="0"/>
      <w:spacing w:before="240" w:after="120" w:line="260" w:lineRule="atLeast"/>
      <w:jc w:val="center"/>
    </w:pPr>
    <w:rPr>
      <w:rFonts w:ascii="Palatino Linotype" w:hAnsi="Palatino Linotype" w:eastAsia="宋体" w:cs="Times New Roman"/>
      <w:color w:val="000000"/>
      <w:sz w:val="18"/>
      <w:lang w:val="en-US" w:eastAsia="zh-CN" w:bidi="en-US"/>
    </w:rPr>
  </w:style>
  <w:style w:type="paragraph" w:customStyle="1" w:styleId="68">
    <w:name w:val="MDPI_7.2_Copyright"/>
    <w:qFormat/>
    <w:uiPriority w:val="0"/>
    <w:pPr>
      <w:adjustRightInd w:val="0"/>
      <w:snapToGrid w:val="0"/>
      <w:spacing w:before="240" w:line="240" w:lineRule="atLeast"/>
      <w:ind w:right="113"/>
    </w:pPr>
    <w:rPr>
      <w:rFonts w:ascii="Palatino Linotype" w:hAnsi="Palatino Linotype" w:eastAsia="Times New Roman" w:cs="Times New Roman"/>
      <w:snapToGrid w:val="0"/>
      <w:color w:val="000000"/>
      <w:spacing w:val="-2"/>
      <w:sz w:val="14"/>
      <w:lang w:val="en-GB" w:eastAsia="en-GB" w:bidi="ar-SA"/>
    </w:rPr>
  </w:style>
  <w:style w:type="paragraph" w:customStyle="1" w:styleId="69">
    <w:name w:val="MDPI_7.3_CopyrightImage"/>
    <w:qFormat/>
    <w:uiPriority w:val="0"/>
    <w:pPr>
      <w:adjustRightInd w:val="0"/>
      <w:snapToGrid w:val="0"/>
      <w:spacing w:after="100" w:line="260" w:lineRule="atLeast"/>
      <w:jc w:val="right"/>
    </w:pPr>
    <w:rPr>
      <w:rFonts w:ascii="Palatino Linotype" w:hAnsi="Palatino Linotype" w:eastAsia="Times New Roman" w:cs="Times New Roman"/>
      <w:color w:val="000000"/>
      <w:lang w:val="en-US" w:eastAsia="de-CH" w:bidi="ar-SA"/>
    </w:rPr>
  </w:style>
  <w:style w:type="paragraph" w:customStyle="1" w:styleId="70">
    <w:name w:val="MDPI_equationFram"/>
    <w:qFormat/>
    <w:uiPriority w:val="0"/>
    <w:pPr>
      <w:adjustRightInd w:val="0"/>
      <w:snapToGrid w:val="0"/>
      <w:spacing w:before="120" w:after="120"/>
      <w:jc w:val="center"/>
    </w:pPr>
    <w:rPr>
      <w:rFonts w:ascii="Palatino Linotype" w:hAnsi="Palatino Linotype" w:eastAsia="Times New Roman" w:cs="Times New Roman"/>
      <w:snapToGrid w:val="0"/>
      <w:color w:val="000000"/>
      <w:szCs w:val="22"/>
      <w:lang w:val="en-US" w:eastAsia="de-DE" w:bidi="en-US"/>
    </w:rPr>
  </w:style>
  <w:style w:type="paragraph" w:customStyle="1" w:styleId="71">
    <w:name w:val="MDPI_footer"/>
    <w:qFormat/>
    <w:uiPriority w:val="0"/>
    <w:pPr>
      <w:adjustRightInd w:val="0"/>
      <w:snapToGrid w:val="0"/>
      <w:spacing w:before="120" w:line="260" w:lineRule="atLeast"/>
      <w:jc w:val="center"/>
    </w:pPr>
    <w:rPr>
      <w:rFonts w:ascii="Palatino Linotype" w:hAnsi="Palatino Linotype" w:eastAsia="Times New Roman" w:cs="Times New Roman"/>
      <w:color w:val="000000"/>
      <w:lang w:val="en-US" w:eastAsia="de-DE" w:bidi="ar-SA"/>
    </w:rPr>
  </w:style>
  <w:style w:type="paragraph" w:customStyle="1" w:styleId="72">
    <w:name w:val="MDPI_header"/>
    <w:qFormat/>
    <w:uiPriority w:val="0"/>
    <w:pPr>
      <w:adjustRightInd w:val="0"/>
      <w:snapToGrid w:val="0"/>
      <w:spacing w:after="240" w:line="260" w:lineRule="atLeast"/>
      <w:jc w:val="both"/>
    </w:pPr>
    <w:rPr>
      <w:rFonts w:ascii="Palatino Linotype" w:hAnsi="Palatino Linotype" w:eastAsia="Times New Roman" w:cs="Times New Roman"/>
      <w:iCs/>
      <w:color w:val="000000"/>
      <w:sz w:val="16"/>
      <w:lang w:val="en-US" w:eastAsia="de-DE" w:bidi="ar-SA"/>
    </w:rPr>
  </w:style>
  <w:style w:type="paragraph" w:customStyle="1" w:styleId="73">
    <w:name w:val="MDPI_header_citation"/>
    <w:qFormat/>
    <w:uiPriority w:val="0"/>
    <w:pPr>
      <w:spacing w:after="240"/>
    </w:pPr>
    <w:rPr>
      <w:rFonts w:ascii="Palatino Linotype" w:hAnsi="Palatino Linotype" w:eastAsia="Times New Roman" w:cs="Times New Roman"/>
      <w:snapToGrid w:val="0"/>
      <w:color w:val="000000"/>
      <w:sz w:val="18"/>
      <w:lang w:val="en-US" w:eastAsia="de-DE" w:bidi="en-US"/>
    </w:rPr>
  </w:style>
  <w:style w:type="paragraph" w:customStyle="1" w:styleId="74">
    <w:name w:val="MDPI_header_mdpi_logo"/>
    <w:qFormat/>
    <w:uiPriority w:val="0"/>
    <w:pPr>
      <w:adjustRightInd w:val="0"/>
      <w:snapToGrid w:val="0"/>
      <w:spacing w:line="260" w:lineRule="atLeast"/>
      <w:jc w:val="right"/>
    </w:pPr>
    <w:rPr>
      <w:rFonts w:ascii="Palatino Linotype" w:hAnsi="Palatino Linotype" w:eastAsia="Times New Roman" w:cs="Times New Roman"/>
      <w:color w:val="000000"/>
      <w:sz w:val="24"/>
      <w:szCs w:val="22"/>
      <w:lang w:val="en-US" w:eastAsia="de-CH" w:bidi="ar-SA"/>
    </w:rPr>
  </w:style>
  <w:style w:type="table" w:customStyle="1" w:styleId="75">
    <w:name w:val="MDPI_Table"/>
    <w:basedOn w:val="14"/>
    <w:qFormat/>
    <w:uiPriority w:val="99"/>
    <w:rPr>
      <w:rFonts w:ascii="Palatino Linotype" w:hAnsi="Palatino Linotype"/>
      <w:color w:val="000000"/>
      <w:lang w:val="en-CA" w:eastAsia="en-US"/>
    </w:rPr>
    <w:tblPr>
      <w:tblCellMar>
        <w:left w:w="0" w:type="dxa"/>
        <w:right w:w="0" w:type="dxa"/>
      </w:tblCellMar>
    </w:tblPr>
  </w:style>
  <w:style w:type="paragraph" w:customStyle="1" w:styleId="76">
    <w:name w:val="MDPI_text"/>
    <w:qFormat/>
    <w:uiPriority w:val="0"/>
    <w:pPr>
      <w:spacing w:line="260" w:lineRule="atLeast"/>
      <w:ind w:left="425" w:right="425" w:firstLine="284"/>
      <w:jc w:val="both"/>
    </w:pPr>
    <w:rPr>
      <w:rFonts w:ascii="Times New Roman" w:hAnsi="Times New Roman" w:eastAsia="Times New Roman" w:cs="Times New Roman"/>
      <w:snapToGrid w:val="0"/>
      <w:color w:val="000000"/>
      <w:sz w:val="22"/>
      <w:szCs w:val="22"/>
      <w:lang w:val="en-US" w:eastAsia="de-DE" w:bidi="en-US"/>
    </w:rPr>
  </w:style>
  <w:style w:type="paragraph" w:customStyle="1" w:styleId="77">
    <w:name w:val="MDPI_title"/>
    <w:qFormat/>
    <w:uiPriority w:val="0"/>
    <w:pPr>
      <w:adjustRightInd w:val="0"/>
      <w:snapToGrid w:val="0"/>
      <w:spacing w:after="240" w:line="260" w:lineRule="atLeast"/>
      <w:jc w:val="both"/>
    </w:pPr>
    <w:rPr>
      <w:rFonts w:ascii="Palatino Linotype" w:hAnsi="Palatino Linotype" w:eastAsia="Times New Roman" w:cs="Times New Roman"/>
      <w:b/>
      <w:snapToGrid w:val="0"/>
      <w:color w:val="000000"/>
      <w:sz w:val="36"/>
      <w:lang w:val="en-US" w:eastAsia="de-DE" w:bidi="en-US"/>
    </w:rPr>
  </w:style>
  <w:style w:type="character" w:customStyle="1" w:styleId="78">
    <w:name w:val="apple-converted-space"/>
    <w:qFormat/>
    <w:uiPriority w:val="0"/>
  </w:style>
  <w:style w:type="paragraph" w:customStyle="1" w:styleId="79">
    <w:name w:val="Bibliography"/>
    <w:basedOn w:val="1"/>
    <w:next w:val="1"/>
    <w:semiHidden/>
    <w:unhideWhenUsed/>
    <w:qFormat/>
    <w:uiPriority w:val="37"/>
  </w:style>
  <w:style w:type="character" w:customStyle="1" w:styleId="80">
    <w:name w:val="正文文本 字符"/>
    <w:link w:val="6"/>
    <w:qFormat/>
    <w:uiPriority w:val="0"/>
    <w:rPr>
      <w:rFonts w:ascii="Palatino Linotype" w:hAnsi="Palatino Linotype"/>
      <w:color w:val="000000"/>
      <w:sz w:val="24"/>
      <w:lang w:eastAsia="de-DE"/>
    </w:rPr>
  </w:style>
  <w:style w:type="character" w:customStyle="1" w:styleId="81">
    <w:name w:val="批注文字 字符"/>
    <w:link w:val="5"/>
    <w:qFormat/>
    <w:uiPriority w:val="0"/>
    <w:rPr>
      <w:rFonts w:ascii="Palatino Linotype" w:hAnsi="Palatino Linotype"/>
      <w:color w:val="000000"/>
    </w:rPr>
  </w:style>
  <w:style w:type="character" w:customStyle="1" w:styleId="82">
    <w:name w:val="批注主题 字符"/>
    <w:link w:val="13"/>
    <w:qFormat/>
    <w:uiPriority w:val="0"/>
    <w:rPr>
      <w:rFonts w:ascii="Palatino Linotype" w:hAnsi="Palatino Linotype"/>
      <w:b/>
      <w:bCs/>
      <w:color w:val="000000"/>
    </w:rPr>
  </w:style>
  <w:style w:type="character" w:customStyle="1" w:styleId="83">
    <w:name w:val="尾注文本 字符"/>
    <w:link w:val="7"/>
    <w:semiHidden/>
    <w:qFormat/>
    <w:uiPriority w:val="0"/>
    <w:rPr>
      <w:rFonts w:ascii="Palatino Linotype" w:hAnsi="Palatino Linotype"/>
      <w:color w:val="000000"/>
    </w:rPr>
  </w:style>
  <w:style w:type="character" w:customStyle="1" w:styleId="84">
    <w:name w:val="脚注文本 字符"/>
    <w:link w:val="11"/>
    <w:semiHidden/>
    <w:qFormat/>
    <w:uiPriority w:val="0"/>
    <w:rPr>
      <w:rFonts w:ascii="Palatino Linotype" w:hAnsi="Palatino Linotype"/>
      <w:color w:val="000000"/>
    </w:rPr>
  </w:style>
  <w:style w:type="paragraph" w:customStyle="1" w:styleId="85">
    <w:name w:val="MsoFootnoteText"/>
    <w:basedOn w:val="12"/>
    <w:qFormat/>
    <w:uiPriority w:val="0"/>
    <w:rPr>
      <w:rFonts w:ascii="Times New Roman" w:hAnsi="Times New Roman"/>
    </w:rPr>
  </w:style>
  <w:style w:type="character" w:styleId="86">
    <w:name w:val="Placeholder Text"/>
    <w:semiHidden/>
    <w:qFormat/>
    <w:uiPriority w:val="99"/>
    <w:rPr>
      <w:color w:val="808080"/>
    </w:rPr>
  </w:style>
  <w:style w:type="paragraph" w:customStyle="1" w:styleId="87">
    <w:name w:val="MDPI_7.1_FootNotes"/>
    <w:qFormat/>
    <w:uiPriority w:val="0"/>
    <w:pPr>
      <w:numPr>
        <w:ilvl w:val="0"/>
        <w:numId w:val="4"/>
      </w:numPr>
      <w:adjustRightInd w:val="0"/>
      <w:snapToGrid w:val="0"/>
      <w:spacing w:line="228" w:lineRule="auto"/>
    </w:pPr>
    <w:rPr>
      <w:rFonts w:ascii="Palatino Linotype" w:hAnsi="Palatino Linotype" w:cs="Times New Roman" w:eastAsiaTheme="minorEastAsia"/>
      <w:color w:val="000000"/>
      <w:sz w:val="18"/>
      <w:lang w:val="en-US" w:eastAsia="zh-CN" w:bidi="ar-SA"/>
    </w:rPr>
  </w:style>
  <w:style w:type="paragraph" w:customStyle="1" w:styleId="88">
    <w:name w:val="바탕글"/>
    <w:basedOn w:val="1"/>
    <w:qFormat/>
    <w:uiPriority w:val="0"/>
    <w:pPr>
      <w:widowControl w:val="0"/>
      <w:wordWrap w:val="0"/>
      <w:autoSpaceDE w:val="0"/>
      <w:autoSpaceDN w:val="0"/>
      <w:spacing w:line="384" w:lineRule="auto"/>
      <w:textAlignment w:val="baseline"/>
    </w:pPr>
    <w:rPr>
      <w:rFonts w:ascii="宋体" w:hAnsi="宋体" w:cs="宋体"/>
    </w:rPr>
  </w:style>
  <w:style w:type="paragraph" w:customStyle="1" w:styleId="89">
    <w:name w:val="AMDisplayEquation"/>
    <w:basedOn w:val="35"/>
    <w:next w:val="1"/>
    <w:link w:val="91"/>
    <w:qFormat/>
    <w:uiPriority w:val="0"/>
    <w:pPr>
      <w:tabs>
        <w:tab w:val="center" w:pos="5240"/>
        <w:tab w:val="right" w:pos="10460"/>
      </w:tabs>
      <w:ind w:left="0" w:firstLine="0"/>
      <w:jc w:val="left"/>
    </w:pPr>
  </w:style>
  <w:style w:type="character" w:customStyle="1" w:styleId="90">
    <w:name w:val="MDPI_3.1_text 字符"/>
    <w:basedOn w:val="16"/>
    <w:link w:val="35"/>
    <w:qFormat/>
    <w:uiPriority w:val="0"/>
    <w:rPr>
      <w:rFonts w:ascii="Palatino Linotype" w:hAnsi="Palatino Linotype" w:eastAsia="Times New Roman"/>
      <w:snapToGrid w:val="0"/>
      <w:color w:val="000000"/>
      <w:szCs w:val="22"/>
      <w:lang w:eastAsia="de-DE" w:bidi="en-US"/>
    </w:rPr>
  </w:style>
  <w:style w:type="character" w:customStyle="1" w:styleId="91">
    <w:name w:val="AMDisplayEquation 字符"/>
    <w:basedOn w:val="90"/>
    <w:link w:val="89"/>
    <w:qFormat/>
    <w:uiPriority w:val="0"/>
    <w:rPr>
      <w:rFonts w:ascii="Palatino Linotype" w:hAnsi="Palatino Linotype" w:eastAsia="Times New Roman"/>
      <w:snapToGrid w:val="0"/>
      <w:color w:val="000000"/>
      <w:szCs w:val="22"/>
      <w:lang w:eastAsia="de-DE" w:bidi="en-US"/>
    </w:rPr>
  </w:style>
  <w:style w:type="character" w:customStyle="1" w:styleId="92">
    <w:name w:val="标题 2 字符"/>
    <w:basedOn w:val="16"/>
    <w:link w:val="2"/>
    <w:qFormat/>
    <w:uiPriority w:val="9"/>
    <w:rPr>
      <w:rFonts w:ascii="Times New Roman" w:hAnsi="Times New Roman" w:eastAsia="FZSong_Superfont" w:cstheme="majorBidi"/>
      <w:b/>
      <w:bCs/>
      <w:kern w:val="2"/>
      <w:sz w:val="24"/>
      <w:szCs w:val="32"/>
    </w:rPr>
  </w:style>
  <w:style w:type="paragraph" w:customStyle="1" w:styleId="93">
    <w:name w:val="表格"/>
    <w:basedOn w:val="1"/>
    <w:link w:val="94"/>
    <w:qFormat/>
    <w:uiPriority w:val="0"/>
    <w:pPr>
      <w:spacing w:line="400" w:lineRule="exact"/>
    </w:pPr>
    <w:rPr>
      <w:rFonts w:ascii="Times New Roman" w:hAnsi="Times New Roman" w:eastAsia="新宋体" w:cstheme="minorBidi"/>
      <w:color w:val="auto"/>
      <w:kern w:val="2"/>
      <w:sz w:val="16"/>
      <w:szCs w:val="18"/>
    </w:rPr>
  </w:style>
  <w:style w:type="character" w:customStyle="1" w:styleId="94">
    <w:name w:val="表格 字符"/>
    <w:basedOn w:val="16"/>
    <w:link w:val="93"/>
    <w:qFormat/>
    <w:uiPriority w:val="0"/>
    <w:rPr>
      <w:rFonts w:ascii="Times New Roman" w:hAnsi="Times New Roman" w:eastAsia="新宋体" w:cstheme="minorBidi"/>
      <w:kern w:val="2"/>
      <w:sz w:val="16"/>
      <w:szCs w:val="18"/>
    </w:rPr>
  </w:style>
  <w:style w:type="paragraph" w:customStyle="1" w:styleId="95">
    <w:name w:val="文中表格"/>
    <w:basedOn w:val="93"/>
    <w:link w:val="96"/>
    <w:qFormat/>
    <w:uiPriority w:val="0"/>
    <w:pPr>
      <w:spacing w:line="120" w:lineRule="atLeast"/>
      <w:jc w:val="center"/>
    </w:pPr>
  </w:style>
  <w:style w:type="character" w:customStyle="1" w:styleId="96">
    <w:name w:val="文中表格 字符"/>
    <w:basedOn w:val="94"/>
    <w:link w:val="95"/>
    <w:qFormat/>
    <w:uiPriority w:val="0"/>
    <w:rPr>
      <w:rFonts w:ascii="Times New Roman" w:hAnsi="Times New Roman" w:eastAsia="新宋体" w:cstheme="minorBidi"/>
      <w:kern w:val="2"/>
      <w:sz w:val="16"/>
      <w:szCs w:val="18"/>
    </w:rPr>
  </w:style>
  <w:style w:type="paragraph" w:customStyle="1" w:styleId="97">
    <w:name w:val="表格题注"/>
    <w:basedOn w:val="4"/>
    <w:link w:val="98"/>
    <w:qFormat/>
    <w:uiPriority w:val="0"/>
    <w:pPr>
      <w:spacing w:line="400" w:lineRule="exact"/>
    </w:pPr>
    <w:rPr>
      <w:rFonts w:ascii="Times New Roman" w:hAnsi="Times New Roman" w:eastAsia="新宋体" w:cstheme="minorBidi"/>
      <w:color w:val="auto"/>
      <w:kern w:val="2"/>
      <w:szCs w:val="21"/>
    </w:rPr>
  </w:style>
  <w:style w:type="character" w:customStyle="1" w:styleId="98">
    <w:name w:val="表格题注 字符"/>
    <w:basedOn w:val="16"/>
    <w:link w:val="97"/>
    <w:qFormat/>
    <w:uiPriority w:val="0"/>
    <w:rPr>
      <w:rFonts w:ascii="Times New Roman" w:hAnsi="Times New Roman" w:eastAsia="新宋体" w:cstheme="minorBidi"/>
      <w:kern w:val="2"/>
      <w:szCs w:val="21"/>
    </w:rPr>
  </w:style>
  <w:style w:type="paragraph" w:styleId="99">
    <w:name w:val="List Paragraph"/>
    <w:basedOn w:val="1"/>
    <w:qFormat/>
    <w:uiPriority w:val="34"/>
    <w:pPr>
      <w:ind w:firstLine="420" w:firstLineChars="200"/>
    </w:pPr>
  </w:style>
  <w:style w:type="paragraph" w:customStyle="1" w:styleId="100">
    <w:name w:val="xl67"/>
    <w:basedOn w:val="1"/>
    <w:qFormat/>
    <w:uiPriority w:val="0"/>
    <w:pPr>
      <w:widowControl w:val="0"/>
      <w:autoSpaceDE w:val="0"/>
      <w:autoSpaceDN w:val="0"/>
      <w:spacing w:line="240" w:lineRule="auto"/>
      <w:jc w:val="center"/>
      <w:textAlignment w:val="center"/>
    </w:pPr>
    <w:rPr>
      <w:rFonts w:ascii="宋体" w:hAnsi="宋体" w:cs="宋体"/>
      <w:sz w:val="16"/>
      <w:szCs w:val="16"/>
    </w:rPr>
  </w:style>
  <w:style w:type="paragraph" w:customStyle="1" w:styleId="101">
    <w:name w:val="xl65"/>
    <w:basedOn w:val="1"/>
    <w:qFormat/>
    <w:uiPriority w:val="0"/>
    <w:pPr>
      <w:widowControl w:val="0"/>
      <w:autoSpaceDE w:val="0"/>
      <w:autoSpaceDN w:val="0"/>
      <w:spacing w:line="240" w:lineRule="auto"/>
      <w:jc w:val="left"/>
      <w:textAlignment w:val="bottom"/>
    </w:pPr>
    <w:rPr>
      <w:rFonts w:ascii="宋体" w:hAnsi="宋体" w:cs="宋体"/>
      <w:sz w:val="22"/>
      <w:szCs w:val="22"/>
    </w:rPr>
  </w:style>
  <w:style w:type="paragraph" w:customStyle="1" w:styleId="102">
    <w:name w:val="xl66"/>
    <w:basedOn w:val="1"/>
    <w:qFormat/>
    <w:uiPriority w:val="0"/>
    <w:pPr>
      <w:widowControl w:val="0"/>
      <w:autoSpaceDE w:val="0"/>
      <w:autoSpaceDN w:val="0"/>
      <w:spacing w:line="240" w:lineRule="auto"/>
      <w:jc w:val="left"/>
      <w:textAlignment w:val="bottom"/>
    </w:pPr>
    <w:rPr>
      <w:rFonts w:ascii="宋体" w:hAnsi="宋体" w:cs="宋体"/>
      <w:sz w:val="22"/>
      <w:szCs w:val="22"/>
    </w:rPr>
  </w:style>
  <w:style w:type="paragraph" w:customStyle="1" w:styleId="103">
    <w:name w:val="table no"/>
    <w:basedOn w:val="1"/>
    <w:qFormat/>
    <w:uiPriority w:val="0"/>
    <w:pPr>
      <w:widowControl w:val="0"/>
      <w:wordWrap w:val="0"/>
      <w:autoSpaceDE w:val="0"/>
      <w:autoSpaceDN w:val="0"/>
      <w:snapToGrid w:val="0"/>
      <w:spacing w:line="312" w:lineRule="auto"/>
      <w:jc w:val="center"/>
      <w:textAlignment w:val="baseline"/>
    </w:pPr>
    <w:rPr>
      <w:rFonts w:ascii="宋体" w:hAnsi="宋体" w:cs="宋体"/>
      <w:sz w:val="22"/>
      <w:szCs w:val="22"/>
    </w:rPr>
  </w:style>
  <w:style w:type="character" w:customStyle="1" w:styleId="104">
    <w:name w:val="标题 3 字符"/>
    <w:basedOn w:val="16"/>
    <w:link w:val="3"/>
    <w:semiHidden/>
    <w:qFormat/>
    <w:uiPriority w:val="9"/>
    <w:rPr>
      <w:rFonts w:ascii="Palatino Linotype" w:hAnsi="Palatino Linotype"/>
      <w:b/>
      <w:bCs/>
      <w:color w:val="000000"/>
      <w:sz w:val="32"/>
      <w:szCs w:val="32"/>
    </w:rPr>
  </w:style>
  <w:style w:type="paragraph" w:customStyle="1" w:styleId="105">
    <w:name w:val="EndNote Bibliography Title"/>
    <w:basedOn w:val="1"/>
    <w:link w:val="106"/>
    <w:qFormat/>
    <w:uiPriority w:val="0"/>
    <w:pPr>
      <w:jc w:val="center"/>
    </w:pPr>
    <w:rPr>
      <w:sz w:val="18"/>
    </w:rPr>
  </w:style>
  <w:style w:type="character" w:customStyle="1" w:styleId="106">
    <w:name w:val="EndNote Bibliography Title 字符"/>
    <w:basedOn w:val="90"/>
    <w:link w:val="105"/>
    <w:qFormat/>
    <w:uiPriority w:val="0"/>
    <w:rPr>
      <w:rFonts w:ascii="Palatino Linotype" w:hAnsi="Palatino Linotype" w:eastAsia="Times New Roman"/>
      <w:snapToGrid/>
      <w:color w:val="000000"/>
      <w:sz w:val="18"/>
      <w:szCs w:val="22"/>
      <w:lang w:eastAsia="de-DE" w:bidi="en-US"/>
    </w:rPr>
  </w:style>
  <w:style w:type="paragraph" w:customStyle="1" w:styleId="107">
    <w:name w:val="EndNote Bibliography"/>
    <w:basedOn w:val="1"/>
    <w:link w:val="108"/>
    <w:qFormat/>
    <w:uiPriority w:val="0"/>
    <w:pPr>
      <w:spacing w:line="240" w:lineRule="atLeast"/>
    </w:pPr>
    <w:rPr>
      <w:sz w:val="18"/>
    </w:rPr>
  </w:style>
  <w:style w:type="character" w:customStyle="1" w:styleId="108">
    <w:name w:val="EndNote Bibliography 字符"/>
    <w:basedOn w:val="90"/>
    <w:link w:val="107"/>
    <w:qFormat/>
    <w:uiPriority w:val="0"/>
    <w:rPr>
      <w:rFonts w:ascii="Palatino Linotype" w:hAnsi="Palatino Linotype" w:eastAsia="Times New Roman"/>
      <w:snapToGrid/>
      <w:color w:val="000000"/>
      <w:sz w:val="18"/>
      <w:szCs w:val="22"/>
      <w:lang w:eastAsia="de-DE" w:bidi="en-US"/>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9" Type="http://schemas.openxmlformats.org/officeDocument/2006/relationships/fontTable" Target="fontTable.xml"/><Relationship Id="rId58" Type="http://schemas.openxmlformats.org/officeDocument/2006/relationships/customXml" Target="../customXml/item1.xml"/><Relationship Id="rId57" Type="http://schemas.openxmlformats.org/officeDocument/2006/relationships/numbering" Target="numbering.xml"/><Relationship Id="rId56" Type="http://schemas.openxmlformats.org/officeDocument/2006/relationships/chart" Target="charts/chart1.xml"/><Relationship Id="rId55" Type="http://schemas.openxmlformats.org/officeDocument/2006/relationships/image" Target="media/image24.wmf"/><Relationship Id="rId54" Type="http://schemas.openxmlformats.org/officeDocument/2006/relationships/oleObject" Target="embeddings/oleObject23.bin"/><Relationship Id="rId53" Type="http://schemas.openxmlformats.org/officeDocument/2006/relationships/image" Target="media/image23.wmf"/><Relationship Id="rId52" Type="http://schemas.openxmlformats.org/officeDocument/2006/relationships/oleObject" Target="embeddings/oleObject22.bin"/><Relationship Id="rId51" Type="http://schemas.openxmlformats.org/officeDocument/2006/relationships/image" Target="media/image22.wmf"/><Relationship Id="rId50" Type="http://schemas.openxmlformats.org/officeDocument/2006/relationships/oleObject" Target="embeddings/oleObject21.bin"/><Relationship Id="rId5" Type="http://schemas.openxmlformats.org/officeDocument/2006/relationships/header" Target="header1.xml"/><Relationship Id="rId49" Type="http://schemas.openxmlformats.org/officeDocument/2006/relationships/image" Target="media/image21.wmf"/><Relationship Id="rId48" Type="http://schemas.openxmlformats.org/officeDocument/2006/relationships/oleObject" Target="embeddings/oleObject20.bin"/><Relationship Id="rId47" Type="http://schemas.openxmlformats.org/officeDocument/2006/relationships/image" Target="media/image20.wmf"/><Relationship Id="rId46" Type="http://schemas.openxmlformats.org/officeDocument/2006/relationships/oleObject" Target="embeddings/oleObject19.bin"/><Relationship Id="rId45" Type="http://schemas.openxmlformats.org/officeDocument/2006/relationships/oleObject" Target="embeddings/oleObject18.bin"/><Relationship Id="rId44" Type="http://schemas.openxmlformats.org/officeDocument/2006/relationships/image" Target="media/image19.wmf"/><Relationship Id="rId43" Type="http://schemas.openxmlformats.org/officeDocument/2006/relationships/oleObject" Target="embeddings/oleObject17.bin"/><Relationship Id="rId42" Type="http://schemas.openxmlformats.org/officeDocument/2006/relationships/image" Target="media/image18.wmf"/><Relationship Id="rId41" Type="http://schemas.openxmlformats.org/officeDocument/2006/relationships/oleObject" Target="embeddings/oleObject16.bin"/><Relationship Id="rId40" Type="http://schemas.openxmlformats.org/officeDocument/2006/relationships/image" Target="media/image17.wmf"/><Relationship Id="rId4" Type="http://schemas.openxmlformats.org/officeDocument/2006/relationships/endnotes" Target="endnotes.xml"/><Relationship Id="rId39" Type="http://schemas.openxmlformats.org/officeDocument/2006/relationships/oleObject" Target="embeddings/oleObject15.bin"/><Relationship Id="rId38" Type="http://schemas.openxmlformats.org/officeDocument/2006/relationships/image" Target="media/image16.wmf"/><Relationship Id="rId37" Type="http://schemas.openxmlformats.org/officeDocument/2006/relationships/oleObject" Target="embeddings/oleObject14.bin"/><Relationship Id="rId36" Type="http://schemas.openxmlformats.org/officeDocument/2006/relationships/image" Target="media/image15.wmf"/><Relationship Id="rId35" Type="http://schemas.openxmlformats.org/officeDocument/2006/relationships/oleObject" Target="embeddings/oleObject13.bin"/><Relationship Id="rId34" Type="http://schemas.openxmlformats.org/officeDocument/2006/relationships/image" Target="media/image14.wmf"/><Relationship Id="rId33" Type="http://schemas.openxmlformats.org/officeDocument/2006/relationships/oleObject" Target="embeddings/oleObject12.bin"/><Relationship Id="rId32" Type="http://schemas.openxmlformats.org/officeDocument/2006/relationships/image" Target="media/image13.wmf"/><Relationship Id="rId31" Type="http://schemas.openxmlformats.org/officeDocument/2006/relationships/oleObject" Target="embeddings/oleObject11.bin"/><Relationship Id="rId30" Type="http://schemas.openxmlformats.org/officeDocument/2006/relationships/image" Target="media/image12.jpeg"/><Relationship Id="rId3" Type="http://schemas.openxmlformats.org/officeDocument/2006/relationships/footnotes" Target="footnotes.xml"/><Relationship Id="rId29" Type="http://schemas.openxmlformats.org/officeDocument/2006/relationships/image" Target="media/image11.jpeg"/><Relationship Id="rId28" Type="http://schemas.openxmlformats.org/officeDocument/2006/relationships/image" Target="media/image10.wmf"/><Relationship Id="rId27" Type="http://schemas.openxmlformats.org/officeDocument/2006/relationships/oleObject" Target="embeddings/oleObject10.bin"/><Relationship Id="rId26" Type="http://schemas.openxmlformats.org/officeDocument/2006/relationships/image" Target="media/image9.wmf"/><Relationship Id="rId25" Type="http://schemas.openxmlformats.org/officeDocument/2006/relationships/oleObject" Target="embeddings/oleObject9.bin"/><Relationship Id="rId24" Type="http://schemas.openxmlformats.org/officeDocument/2006/relationships/image" Target="media/image8.wmf"/><Relationship Id="rId23" Type="http://schemas.openxmlformats.org/officeDocument/2006/relationships/oleObject" Target="embeddings/oleObject8.bin"/><Relationship Id="rId22" Type="http://schemas.openxmlformats.org/officeDocument/2006/relationships/image" Target="media/image7.wmf"/><Relationship Id="rId21" Type="http://schemas.openxmlformats.org/officeDocument/2006/relationships/oleObject" Target="embeddings/oleObject7.bin"/><Relationship Id="rId20" Type="http://schemas.openxmlformats.org/officeDocument/2006/relationships/image" Target="media/image6.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5.wmf"/><Relationship Id="rId17" Type="http://schemas.openxmlformats.org/officeDocument/2006/relationships/oleObject" Target="embeddings/oleObject5.bin"/><Relationship Id="rId16" Type="http://schemas.openxmlformats.org/officeDocument/2006/relationships/image" Target="media/image4.wmf"/><Relationship Id="rId15" Type="http://schemas.openxmlformats.org/officeDocument/2006/relationships/oleObject" Target="embeddings/oleObject4.bin"/><Relationship Id="rId14" Type="http://schemas.openxmlformats.org/officeDocument/2006/relationships/image" Target="media/image3.wmf"/><Relationship Id="rId13" Type="http://schemas.openxmlformats.org/officeDocument/2006/relationships/oleObject" Target="embeddings/oleObject3.bin"/><Relationship Id="rId12" Type="http://schemas.openxmlformats.org/officeDocument/2006/relationships/image" Target="media/image2.wmf"/><Relationship Id="rId11" Type="http://schemas.openxmlformats.org/officeDocument/2006/relationships/oleObject" Target="embeddings/oleObject2.bin"/><Relationship Id="rId10" Type="http://schemas.openxmlformats.org/officeDocument/2006/relationships/image" Target="media/image1.w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iCloudDrive\&#22278;&#22278;&#23567;&#35770;&#25991;&#24320;&#24037;&#21862;\&#28070;&#28070;&#27605;&#19994;&#35770;&#25991;&#25913;&#23567;\sustainability-template.dot" TargetMode="Externa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86152\iCloudDrive\1&#21338;&#22763;&#27605;&#19994;&#35770;&#25991;&#30456;&#20851;\x3&#22266;&#23450;&#36164;&#20135;51&#20010;DMU&#19977;&#38454;&#27573;&#32467;&#2652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Sheet1!$B$2</c:f>
              <c:strCache>
                <c:ptCount val="1"/>
                <c:pt idx="0">
                  <c:v>CM</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delete val="1"/>
            </c:dLbl>
            <c:dLbl>
              <c:idx val="1"/>
              <c:delete val="1"/>
            </c:dLbl>
            <c:dLbl>
              <c:idx val="2"/>
              <c:delete val="1"/>
            </c:dLbl>
            <c:dLbl>
              <c:idx val="3"/>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dLbl>
              <c:idx val="12"/>
              <c:layout/>
              <c:dLblPos val="r"/>
              <c:showLegendKey val="0"/>
              <c:showVal val="1"/>
              <c:showCatName val="0"/>
              <c:showSerName val="0"/>
              <c:showPercent val="0"/>
              <c:showBubbleSize val="0"/>
              <c:extLst>
                <c:ext xmlns:c15="http://schemas.microsoft.com/office/drawing/2012/chart" uri="{CE6537A1-D6FC-4f65-9D91-7224C49458BB}"/>
              </c:extLst>
            </c:dLbl>
            <c:dLbl>
              <c:idx val="13"/>
              <c:layout/>
              <c:dLblPos val="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600" b="0" i="0" u="none" strike="noStrike" kern="1200" baseline="0">
                    <a:solidFill>
                      <a:schemeClr val="tx1">
                        <a:lumMod val="75000"/>
                        <a:lumOff val="25000"/>
                      </a:schemeClr>
                    </a:solidFill>
                    <a:latin typeface="+mn-lt"/>
                    <a:ea typeface="+mn-ea"/>
                    <a:cs typeface="+mn-cs"/>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Sheet1!$A$3:$A$16</c:f>
              <c:strCache>
                <c:ptCount val="14"/>
                <c:pt idx="0">
                  <c:v>2007-2008</c:v>
                </c:pt>
                <c:pt idx="1">
                  <c:v>2008-2009</c:v>
                </c:pt>
                <c:pt idx="2">
                  <c:v>2009-2010</c:v>
                </c:pt>
                <c:pt idx="3">
                  <c:v>2010-2011</c:v>
                </c:pt>
                <c:pt idx="4">
                  <c:v>2011-2012</c:v>
                </c:pt>
                <c:pt idx="5">
                  <c:v>2012-2013</c:v>
                </c:pt>
                <c:pt idx="6">
                  <c:v>2013-2014</c:v>
                </c:pt>
                <c:pt idx="7">
                  <c:v>2014-2015</c:v>
                </c:pt>
                <c:pt idx="8">
                  <c:v>2015-2016</c:v>
                </c:pt>
                <c:pt idx="9">
                  <c:v>2016-2017</c:v>
                </c:pt>
                <c:pt idx="10">
                  <c:v>2017-2018</c:v>
                </c:pt>
                <c:pt idx="11">
                  <c:v>2018-2019</c:v>
                </c:pt>
                <c:pt idx="12">
                  <c:v>2019-2020</c:v>
                </c:pt>
                <c:pt idx="13">
                  <c:v>2020-2021</c:v>
                </c:pt>
              </c:strCache>
            </c:strRef>
          </c:cat>
          <c:val>
            <c:numRef>
              <c:f>Sheet1!$B$3:$B$16</c:f>
              <c:numCache>
                <c:formatCode>0.0000_ ;[Red]\-0.0000\ </c:formatCode>
                <c:ptCount val="14"/>
                <c:pt idx="0">
                  <c:v>1.11352324186566</c:v>
                </c:pt>
                <c:pt idx="1">
                  <c:v>1.22466468654906</c:v>
                </c:pt>
                <c:pt idx="2">
                  <c:v>1.1110932373584</c:v>
                </c:pt>
                <c:pt idx="3">
                  <c:v>1.24870046959967</c:v>
                </c:pt>
                <c:pt idx="4">
                  <c:v>1.04716370724986</c:v>
                </c:pt>
                <c:pt idx="5">
                  <c:v>1.06306631382169</c:v>
                </c:pt>
                <c:pt idx="6">
                  <c:v>1.00968390283688</c:v>
                </c:pt>
                <c:pt idx="7">
                  <c:v>1.49969862721193</c:v>
                </c:pt>
                <c:pt idx="8">
                  <c:v>1.17553087236269</c:v>
                </c:pt>
                <c:pt idx="9">
                  <c:v>1.12498545867765</c:v>
                </c:pt>
                <c:pt idx="10">
                  <c:v>1.09537641693452</c:v>
                </c:pt>
                <c:pt idx="11">
                  <c:v>1.0764582788506</c:v>
                </c:pt>
                <c:pt idx="12">
                  <c:v>0.738585475797157</c:v>
                </c:pt>
                <c:pt idx="13">
                  <c:v>0.974639494601993</c:v>
                </c:pt>
              </c:numCache>
            </c:numRef>
          </c:val>
          <c:smooth val="0"/>
        </c:ser>
        <c:ser>
          <c:idx val="1"/>
          <c:order val="1"/>
          <c:tx>
            <c:strRef>
              <c:f>Sheet1!$G$2</c:f>
              <c:strCache>
                <c:ptCount val="1"/>
                <c:pt idx="0">
                  <c:v>MI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delete val="1"/>
            </c:dLbl>
            <c:dLbl>
              <c:idx val="1"/>
              <c:delete val="1"/>
            </c:dLbl>
            <c:dLbl>
              <c:idx val="2"/>
              <c:delete val="1"/>
            </c:dLbl>
            <c:dLbl>
              <c:idx val="3"/>
              <c:delete val="1"/>
            </c:dLbl>
            <c:dLbl>
              <c:idx val="4"/>
              <c:delete val="1"/>
            </c:dLbl>
            <c:dLbl>
              <c:idx val="5"/>
              <c:delete val="1"/>
            </c:dLbl>
            <c:dLbl>
              <c:idx val="6"/>
              <c:layout>
                <c:manualLayout>
                  <c:x val="-0.0372340425531915"/>
                  <c:y val="0.0420972062763108"/>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7"/>
              <c:delete val="1"/>
            </c:dLbl>
            <c:dLbl>
              <c:idx val="8"/>
              <c:delete val="1"/>
            </c:dLbl>
            <c:dLbl>
              <c:idx val="9"/>
              <c:delete val="1"/>
            </c:dLbl>
            <c:dLbl>
              <c:idx val="10"/>
              <c:layout>
                <c:manualLayout>
                  <c:x val="-0.0390070921985816"/>
                  <c:y val="0.034443168771527"/>
                </c:manualLayout>
              </c:layout>
              <c:dLblPos val="r"/>
              <c:showLegendKey val="0"/>
              <c:showVal val="1"/>
              <c:showCatName val="0"/>
              <c:showSerName val="0"/>
              <c:showPercent val="0"/>
              <c:showBubbleSize val="0"/>
              <c:extLst>
                <c:ext xmlns:c15="http://schemas.microsoft.com/office/drawing/2012/chart" uri="{CE6537A1-D6FC-4f65-9D91-7224C49458BB}">
                  <c15:layout/>
                </c:ext>
              </c:extLst>
            </c:dLbl>
            <c:dLbl>
              <c:idx val="11"/>
              <c:delete val="1"/>
            </c:dLbl>
            <c:dLbl>
              <c:idx val="12"/>
              <c:layout/>
              <c:dLblPos val="r"/>
              <c:showLegendKey val="0"/>
              <c:showVal val="1"/>
              <c:showCatName val="0"/>
              <c:showSerName val="0"/>
              <c:showPercent val="0"/>
              <c:showBubbleSize val="0"/>
              <c:extLst>
                <c:ext xmlns:c15="http://schemas.microsoft.com/office/drawing/2012/chart" uri="{CE6537A1-D6FC-4f65-9D91-7224C49458BB}"/>
              </c:extLst>
            </c:dLbl>
            <c:dLbl>
              <c:idx val="13"/>
              <c:layout/>
              <c:dLblPos val="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600" b="0" i="0" u="none" strike="noStrike" kern="1200" baseline="0">
                    <a:solidFill>
                      <a:schemeClr val="tx1">
                        <a:lumMod val="75000"/>
                        <a:lumOff val="25000"/>
                      </a:schemeClr>
                    </a:solidFill>
                    <a:latin typeface="+mn-lt"/>
                    <a:ea typeface="+mn-ea"/>
                    <a:cs typeface="+mn-cs"/>
                  </a:defRPr>
                </a:pPr>
              </a:p>
            </c:txPr>
            <c:dLblPos val="r"/>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Sheet1!$A$3:$A$16</c:f>
              <c:strCache>
                <c:ptCount val="14"/>
                <c:pt idx="0">
                  <c:v>2007-2008</c:v>
                </c:pt>
                <c:pt idx="1">
                  <c:v>2008-2009</c:v>
                </c:pt>
                <c:pt idx="2">
                  <c:v>2009-2010</c:v>
                </c:pt>
                <c:pt idx="3">
                  <c:v>2010-2011</c:v>
                </c:pt>
                <c:pt idx="4">
                  <c:v>2011-2012</c:v>
                </c:pt>
                <c:pt idx="5">
                  <c:v>2012-2013</c:v>
                </c:pt>
                <c:pt idx="6">
                  <c:v>2013-2014</c:v>
                </c:pt>
                <c:pt idx="7">
                  <c:v>2014-2015</c:v>
                </c:pt>
                <c:pt idx="8">
                  <c:v>2015-2016</c:v>
                </c:pt>
                <c:pt idx="9">
                  <c:v>2016-2017</c:v>
                </c:pt>
                <c:pt idx="10">
                  <c:v>2017-2018</c:v>
                </c:pt>
                <c:pt idx="11">
                  <c:v>2018-2019</c:v>
                </c:pt>
                <c:pt idx="12">
                  <c:v>2019-2020</c:v>
                </c:pt>
                <c:pt idx="13">
                  <c:v>2020-2021</c:v>
                </c:pt>
              </c:strCache>
            </c:strRef>
          </c:cat>
          <c:val>
            <c:numRef>
              <c:f>Sheet1!$G$3:$G$16</c:f>
              <c:numCache>
                <c:formatCode>0.0000_ ;[Red]\-0.0000\ </c:formatCode>
                <c:ptCount val="14"/>
                <c:pt idx="0">
                  <c:v>1.00861032611146</c:v>
                </c:pt>
                <c:pt idx="1">
                  <c:v>1.08432621866821</c:v>
                </c:pt>
                <c:pt idx="2">
                  <c:v>1.04143744757064</c:v>
                </c:pt>
                <c:pt idx="3">
                  <c:v>1.09089466192597</c:v>
                </c:pt>
                <c:pt idx="4">
                  <c:v>1.02354619256553</c:v>
                </c:pt>
                <c:pt idx="5">
                  <c:v>1.00734446630077</c:v>
                </c:pt>
                <c:pt idx="6">
                  <c:v>0.971077655408524</c:v>
                </c:pt>
                <c:pt idx="7">
                  <c:v>1.09605517703073</c:v>
                </c:pt>
                <c:pt idx="8">
                  <c:v>1.03746092700673</c:v>
                </c:pt>
                <c:pt idx="9">
                  <c:v>1.01880817803635</c:v>
                </c:pt>
                <c:pt idx="10">
                  <c:v>0.995816929777462</c:v>
                </c:pt>
                <c:pt idx="11">
                  <c:v>1.05388524678918</c:v>
                </c:pt>
                <c:pt idx="12">
                  <c:v>0.802411276645387</c:v>
                </c:pt>
                <c:pt idx="13">
                  <c:v>0.930615540201221</c:v>
                </c:pt>
              </c:numCache>
            </c:numRef>
          </c:val>
          <c:smooth val="0"/>
        </c:ser>
        <c:dLbls>
          <c:showLegendKey val="0"/>
          <c:showVal val="0"/>
          <c:showCatName val="0"/>
          <c:showSerName val="0"/>
          <c:showPercent val="0"/>
          <c:showBubbleSize val="0"/>
        </c:dLbls>
        <c:marker val="1"/>
        <c:smooth val="0"/>
        <c:axId val="1244196927"/>
        <c:axId val="1244182367"/>
      </c:lineChart>
      <c:catAx>
        <c:axId val="1244196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50" b="0" i="0" u="none" strike="noStrike" kern="1200" baseline="0">
                <a:solidFill>
                  <a:schemeClr val="tx1">
                    <a:lumMod val="65000"/>
                    <a:lumOff val="35000"/>
                  </a:schemeClr>
                </a:solidFill>
                <a:latin typeface="+mn-lt"/>
                <a:ea typeface="+mn-ea"/>
                <a:cs typeface="+mn-cs"/>
              </a:defRPr>
            </a:pPr>
          </a:p>
        </c:txPr>
        <c:crossAx val="1244182367"/>
        <c:crosses val="autoZero"/>
        <c:auto val="1"/>
        <c:lblAlgn val="ctr"/>
        <c:lblOffset val="100"/>
        <c:noMultiLvlLbl val="0"/>
      </c:catAx>
      <c:valAx>
        <c:axId val="1244182367"/>
        <c:scaling>
          <c:orientation val="minMax"/>
          <c:min val="0.6"/>
        </c:scaling>
        <c:delete val="0"/>
        <c:axPos val="l"/>
        <c:majorGridlines>
          <c:spPr>
            <a:ln w="9525" cap="flat" cmpd="sng" algn="ctr">
              <a:solidFill>
                <a:schemeClr val="tx1">
                  <a:lumMod val="15000"/>
                  <a:lumOff val="85000"/>
                </a:schemeClr>
              </a:solidFill>
              <a:round/>
            </a:ln>
            <a:effectLst/>
          </c:spPr>
        </c:majorGridlines>
        <c:numFmt formatCode="0.0_ ;[Red]\-0.0\ " sourceLinked="0"/>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244196927"/>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ffa4a1a-3970-4967-8aaa-6137cef8011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6B55B-B9D2-4DF4-92DB-46781D302EF2}">
  <ds:schemaRefs/>
</ds:datastoreItem>
</file>

<file path=docProps/app.xml><?xml version="1.0" encoding="utf-8"?>
<Properties xmlns="http://schemas.openxmlformats.org/officeDocument/2006/extended-properties" xmlns:vt="http://schemas.openxmlformats.org/officeDocument/2006/docPropsVTypes">
  <Template>sustainability-template.dot</Template>
  <Pages>24</Pages>
  <Words>5025</Words>
  <Characters>28400</Characters>
  <Lines>1196</Lines>
  <Paragraphs>336</Paragraphs>
  <TotalTime>4</TotalTime>
  <ScaleCrop>false</ScaleCrop>
  <LinksUpToDate>false</LinksUpToDate>
  <CharactersWithSpaces>33355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2022-07-06T02:04:00Z</dcterms:created>
  <dc:creator>Administrator</dc:creator>
  <cp:lastModifiedBy>李竹园</cp:lastModifiedBy>
  <dcterms:modified xsi:type="dcterms:W3CDTF">2026-06-27T09:16:30Z</dcterms:modified>
  <dc:title>Type of the Paper (Article</dc:title>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KSOTemplateDocerSaveRecord">
    <vt:lpwstr>eyJoZGlkIjoiZGIwNmY4OWQyZGE2ZWQ0MzA3YmU0M2I2OTg5OTRjYTIiLCJ1c2VySWQiOiIxNzAyNTc3MDExIn0=</vt:lpwstr>
  </property>
  <property fmtid="{D5CDD505-2E9C-101B-9397-08002B2CF9AE}" pid="4" name="KSOProductBuildVer">
    <vt:lpwstr>2052-12.1.0.26895</vt:lpwstr>
  </property>
  <property fmtid="{D5CDD505-2E9C-101B-9397-08002B2CF9AE}" pid="5" name="ICV">
    <vt:lpwstr>A251B99F8BB24FF78003B07A0A727604_13</vt:lpwstr>
  </property>
</Properties>
</file>