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2EC" w:rsidRPr="006E32EC" w:rsidRDefault="006E32EC" w:rsidP="006E32EC">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6E32EC">
        <w:rPr>
          <w:rFonts w:ascii="Rockwell" w:eastAsia="Times New Roman" w:hAnsi="Rockwell" w:cs="Times New Roman"/>
          <w:b/>
          <w:bCs/>
          <w:color w:val="000000"/>
          <w:sz w:val="36"/>
          <w:szCs w:val="36"/>
          <w:lang w:eastAsia="en-IN"/>
        </w:rPr>
        <w:t>MUMMAREDDI NAGI REDDI &amp; ORS V. PITTI DURAIRAJA NAIDU &amp; ORS [1951] INSC 33; AIR 1952 SC 109; 1952 SCR 655 (8 May 1951)</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08/05/1951 MUKHERJEA, B.K.</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MUKHERJEA, B.K.</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MAHAJAN, MEHR CHAND BOSE, VIVIAN</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CITATION: 1952 AIR 109 </w:t>
      </w:r>
      <w:r w:rsidRPr="006E32EC">
        <w:rPr>
          <w:rFonts w:ascii="Rockwell" w:eastAsia="Times New Roman" w:hAnsi="Rockwell" w:cs="Times New Roman"/>
          <w:color w:val="0000FF"/>
          <w:u w:val="single"/>
          <w:lang w:eastAsia="en-IN"/>
        </w:rPr>
        <w:t>[1951] INSC 33</w:t>
      </w:r>
      <w:r w:rsidRPr="006E32EC">
        <w:rPr>
          <w:rFonts w:ascii="Rockwell" w:eastAsia="Times New Roman" w:hAnsi="Rockwell" w:cs="Times New Roman"/>
          <w:color w:val="000000"/>
          <w:lang w:eastAsia="en-IN"/>
        </w:rPr>
        <w:t>; </w:t>
      </w:r>
      <w:r w:rsidRPr="006E32EC">
        <w:rPr>
          <w:rFonts w:ascii="Rockwell" w:eastAsia="Times New Roman" w:hAnsi="Rockwell" w:cs="Times New Roman"/>
          <w:color w:val="0000FF"/>
          <w:u w:val="single"/>
          <w:lang w:eastAsia="en-IN"/>
        </w:rPr>
        <w:t>1952 SCR 655</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CITATOR INFO :</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R </w:t>
      </w:r>
      <w:r w:rsidRPr="006E32EC">
        <w:rPr>
          <w:rFonts w:ascii="Rockwell" w:eastAsia="Times New Roman" w:hAnsi="Rockwell" w:cs="Times New Roman"/>
          <w:color w:val="0000FF"/>
          <w:u w:val="single"/>
          <w:lang w:eastAsia="en-IN"/>
        </w:rPr>
        <w:t>1952 SC 207</w:t>
      </w:r>
      <w:r w:rsidRPr="006E32EC">
        <w:rPr>
          <w:rFonts w:ascii="Rockwell" w:eastAsia="Times New Roman" w:hAnsi="Rockwell" w:cs="Times New Roman"/>
          <w:color w:val="000000"/>
          <w:lang w:eastAsia="en-IN"/>
        </w:rPr>
        <w:t> (19) R </w:t>
      </w:r>
      <w:r w:rsidRPr="006E32EC">
        <w:rPr>
          <w:rFonts w:ascii="Rockwell" w:eastAsia="Times New Roman" w:hAnsi="Rockwell" w:cs="Times New Roman"/>
          <w:color w:val="0000FF"/>
          <w:u w:val="single"/>
          <w:lang w:eastAsia="en-IN"/>
        </w:rPr>
        <w:t>1954 SC 61</w:t>
      </w:r>
      <w:r w:rsidRPr="006E32EC">
        <w:rPr>
          <w:rFonts w:ascii="Rockwell" w:eastAsia="Times New Roman" w:hAnsi="Rockwell" w:cs="Times New Roman"/>
          <w:color w:val="000000"/>
          <w:lang w:eastAsia="en-IN"/>
        </w:rPr>
        <w:t> (8)</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ACT:</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Hindu Law--Widow--Surrender--Release in favour of daugh- ter and son-in-law--Validity--Suit by reversioner--Right to mesne profits.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HEADNOTE:</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Where a Hindu widow who had inherited her husband's estate executed a deed, described as a deed of release, in favour of her daughter who was the next reversioner and the daughter's husband jointly:</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Held, that though under the Hindu Law it is open to a widow to surrender the estate to the next reversioner even though the latter is a female heir, a widow cannot validly surrender in favour of the next female heir and a stranger jointly. Such a transaction cannot be treated as a surren- der in favour of the female heir and a transfer by the latter to the stranger, and is not binding upon the ultimate reversioners.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Jagrani v. Gaya (A.I.R. 1933 All. 8561 approved.</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Nobo Kishore v. Harinath (I.L.R. </w:t>
      </w:r>
      <w:r w:rsidRPr="006E32EC">
        <w:rPr>
          <w:rFonts w:ascii="Rockwell" w:eastAsia="Times New Roman" w:hAnsi="Rockwell" w:cs="Times New Roman"/>
          <w:color w:val="0000FF"/>
          <w:u w:val="single"/>
          <w:lang w:eastAsia="en-IN"/>
        </w:rPr>
        <w:t>10 Cal. 11</w:t>
      </w:r>
      <w:bookmarkStart w:id="0" w:name="_GoBack"/>
      <w:bookmarkEnd w:id="0"/>
      <w:r w:rsidRPr="006E32EC">
        <w:rPr>
          <w:rFonts w:ascii="Rockwell" w:eastAsia="Times New Roman" w:hAnsi="Rockwell" w:cs="Times New Roman"/>
          <w:color w:val="0000FF"/>
          <w:u w:val="single"/>
          <w:lang w:eastAsia="en-IN"/>
        </w:rPr>
        <w:t>02)</w:t>
      </w:r>
      <w:r w:rsidRPr="006E32EC">
        <w:rPr>
          <w:rFonts w:ascii="Rockwell" w:eastAsia="Times New Roman" w:hAnsi="Rockwell" w:cs="Times New Roman"/>
          <w:color w:val="000000"/>
          <w:lang w:eastAsia="en-IN"/>
        </w:rPr>
        <w:t> commented upon. Vytla Sitanna v. Marivada (L R. 61 I.A. 200), Rangasa- mi Goundan v. Nachiappa Goundan (41 I.A. 72) and Debi Prosad v. Gola Bhagat (I.L.R. </w:t>
      </w:r>
      <w:r w:rsidRPr="006E32EC">
        <w:rPr>
          <w:rFonts w:ascii="Rockwell" w:eastAsia="Times New Roman" w:hAnsi="Rockwell" w:cs="Times New Roman"/>
          <w:color w:val="0000FF"/>
          <w:u w:val="single"/>
          <w:lang w:eastAsia="en-IN"/>
        </w:rPr>
        <w:t>40 Cal. 721)</w:t>
      </w:r>
      <w:r w:rsidRPr="006E32EC">
        <w:rPr>
          <w:rFonts w:ascii="Rockwell" w:eastAsia="Times New Roman" w:hAnsi="Rockwell" w:cs="Times New Roman"/>
          <w:color w:val="000000"/>
          <w:lang w:eastAsia="en-IN"/>
        </w:rPr>
        <w:t> referred to.</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In a suit by the reversioner to set aside an alienation made by a Hindu widow mesne profits can be awarded to the reversioner from the date of the widow's death even though such an alienation is not void.</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Even in cases where the decree for possession in favour of the reversioner is conditional on his depositing the amount which has been found to have been used for the bene- fit of the estate, mesne profits can be awarded to the reversioner if he is ordered to pay interest on the amount payable to the alienee.</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Bhagwat Dayal v. Debi Dayal (L.R. 35 I.A. 48)and Satgur Prasad v. Harinarain Singh (L.R. 59 I.A. 147) referred to.</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lastRenderedPageBreak/>
        <w:t>Banwarilal v. Mahesh (I.L.R. 41 All. 63) distinguished.</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CIVIL APPELLATE JURISDICTION. Civil Appeal No. 51 of 1950.</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Appeal against the Judgment and Decree dated the 12th January, 1948, of the High Court of Judicature at Madras (Gentle C.J. and Satyanarayana Rao J.) in 85 656 Appeal No. 167 of 1945 arising out of decree dated the 17th August, 1942, of the Subordinate Judge at Nellore in O.S.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No. 3 of 1940.</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K. Rajah Aiyar (R. Ganapathi lyer, with him) for the appellants.' B. Somayya (M. Krishna Rao, with him) for the respond- ents.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1951. May 8. The judgment of the Court was delivered by MUKHERJEA J.--This appeal is directed against an appel- late judgment of a Division Bench of the Madras High Court dated the 12th January, 1948, reversing in part, a decision of the Subordinate Judge of Nellore passed in O.S. No. 3 of 1940.</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To appreciate the material facts of the case and ,the controversy that now centres between the parties, it would be convenient to refer to a short genealogy which is given below :-- Udatha Narayanappa --Chanchamma (d. 1933) | | Venkata Narasamma (d. 1926) --Pitti Rangayya (d. 1914) | | Venkatadri-Rajakantarama | | _______________________________________________________ | | | | Durairaja Rajavathi Balakrishnqa Krishnababulu Plff. 1. Plff. 2. Plff. 3. Plff. 4.</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The properties in dispute which are described in sched- ule A to the plaint admittedly belonged to one Narayanappa who was the father of the paternal grandmother of the plain- tiffs. Narayanappa died intestate sometime before 1884 leaving him surviving his wife Chanchamma and a daughter named Venkata Narasamma. Narasamma was married to one Pitti Rangayya and they had a son named Venkatadri, who was the father of the plaintiffs. Chanchamma died in 657 March, 1933, and the plaintiffs aver that they being the heritable bandhus of Narayanappa as the daughter's son's sons of the latter and there being no nearer heir in exist- ence, they became entitled to all the properties left by Narayanappa on the death of his widow. It appears that on 22nd February, 1894, Chanchamma executed, what has been described as a deed of release, in favour of her daughter Narasamma and her son-inlaw Pitti Rangayya, under which the entire estate of Narayanappa came into the possession of the latter. After the execution of this document, the daughter and son-in-law of Chanchamma began to deal with the proper- ties left by Narayanappa as their own and entered into various transactions on that footing. Pitti Rangayya died in 1914 and Narasamma followed him in 1926. There are six items of property comprised in schedule A to the plaint. Of these items, 4 and 5 were sold by Venkata Narasamma. along with her son, the father of the plaintiffs, on July 9, 1922, to the 5th defendant and the father of defendants 6 to 9 for a sum of Rs. 6,500. Again, on October 26, 1929, when both Narasamma and the plaintiffs' father were dead, item 1 of schedule A was sold by the mother of the plaintiffs as their guardian to the 1st defendant for a consideration of Rs.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33,000. Defendants 2 and 3 are the undivided sons of the 1st defendant. There are other transfers in favour of other defendants in the suit but they are not the subject-matter of the appeal before us.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lastRenderedPageBreak/>
        <w:t>The plaintiffs' allegations in substance are that these alienations are not binding on them as the so-called deed of release executed by the widow could not and did not operate as a deed of surrender and any transfer effected on the strength of this deed by Venkata Narasamma or her son, Venkatadri, or even on behalf of the plaintiffs by their mother as guardian, could not be operative after the death of the widow. As these transfers were made during the lifetime of Chanchamma and without any legal necessity, the plaintiffs as actual reversioners were not bound by them and they are entitled to recover possession of the properties 658 by evicting the transferees. It was for the recovery of possession of these properties that the present suit was brought and there was a claim for mesne profits as well from the date of the widow's death to the date of delivery of possession.</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The defence of the defendants who are interested in the properties mentioned above, were really of a threefold character. It was contended in the first place that the plaintiffs were not the next reversionary heirs of Naraya- nappa and consequently were not entitled to succeed to the estate of the latter on the death of the widow. The second contention was that the deed of release operated as a sur- render of the widow's estate in favour of the daughter who was the next reversioner and although by such a surrender the daughter could get only a limited estate which she would have been entitled to on the death of the widow, yet as the daughter died in 1926, the present suit which was instituted more than 12 years after the date of death, was barred by limitation. The third plea was that in any event, these alienations could not be set aside as they were justified by legal necessity.</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The learned Subordinate Judge who heard the suit decided it adversely to the plaintiffs. It was held first of all that though the plaintiffs were the heritable bandhus of Naraya- nappa, the evidence adduced by them fell short of establish- ing that there were no agnatic relations or nearer heir in existence. As regards the document of release (Exhibit P.</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6)executed by the widow in favour of her daughter and son-in-law, the Subordinate Judge came to the conclusion that the deed operated as a surrender of the widow's estate and as the daughter died in 1926, the plaintiffs' suit was barred by limitation. On the question of legal necessity, the finding recorded by the Subordinate Judge was that the sale deed (Exhibit D-I) executed in favour of the 1st de- fendant was supported by legal necessity to the extent of Rs. 5,061 and odd annas and that the other document under which defend: ants 5 t0 9 claimed title was not binding on the estate 659 at all. In the result, the plaintiffs' suit was dismissed in its entirety.</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 xml:space="preserve">Against this decision, the plaintiffs took an appeal to the High Court of Madras and the appeal was heard by a Division Bench consisting of Gentle C.J. and Satyanarayana Rao J. The learned Judges allowed the appeal in regard to the items of property mentioned above and reversed the decision of the trial Judge to that extent. It was held that the plaintiffs were the nearest reversionary heirs of Na- rayanappa and that the deed of release did not operate as a surrender of the widow's estate. The plaintiffs were given a decree for possession in respect of item 1 of the schedule properties as against defendants 2 and 3 on condition of their depositing into court the sum of Rs. 5,061, and odd annas, that being the amount of debt legally binding on the estate which was discharged out of the sale proceeds of the transfer, and there was a further direction to pay interest upon this amount at the rate of six per cent per annum from certain specified dates up to the date of making the deposit. It may be noted here that the 1st defendant died after the trial Court's decree and his interest passed by survivorship to defendants 2 and 3, who are his undivided sons. As against defendants 5 to 9, there was an uncondi- </w:t>
      </w:r>
      <w:r w:rsidRPr="006E32EC">
        <w:rPr>
          <w:rFonts w:ascii="Rockwell" w:eastAsia="Times New Roman" w:hAnsi="Rockwell" w:cs="Times New Roman"/>
          <w:color w:val="000000"/>
          <w:lang w:eastAsia="en-IN"/>
        </w:rPr>
        <w:lastRenderedPageBreak/>
        <w:t>tional decree for recovery of possession in respect of items 4 and 5 of schedule A. The plaintiffs were further given a decree for mesne profits, both past and future, commencing from the date of the widow's death down to the date of delivery of possession, and the amount of mesne profits was directed to be ascertained in a separate proceeding under Order XX, rule 12of the Code of Civil Procedure. It is against this decision that the present appeal has been preferred by defendants 2, 3 and 5 to 9.</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Mr. Rajah Aiyar, appearing for the appellants, did not seriously challenge the finding of the High Court as to the plaintiffs being the nearest reversioners at the time of Chanchamma's death. He has assailed the propriety of the High Court's decision substantially on two points. His first contention is that the deed of 660 release (Exhibit P-6) executed by Chanchamma had the effect of a surrender of the widow's estate in favour of her daughter and son-in-law and the daughter having died in 1926, the plaintiffs' suit was barred by limitation. The second ground urged is that the High Court should not have given the plaintiffs a decree for mesne profits from the date of the widow's death. Mesne profits could at best have been allowed from the date of the institution of the suit and so far as defendants 2 and 3 are concerned against whom a conditional decree was given, mesne profits could be allowed only from the time when the condition was fulfilled by the plaintiffs' depositing the specified amount in court.</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The first point taken by the learned counsel for the appel- lants raises the question as to the legal effect of the document (Exhibit P-6), upon which the defendants mainly base their contention. The document is more than 50 years old and the language of it is not very clear or definite.</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It begins and ends by saying that it is a deed of release.</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It says that as the executant is a woman unable to look after her worldly affairs and as the persons in whose favour the document is executed are the son-in-law and daughter of the executant, she has put the latter in possession of all her properties, movable and immovable. Then comes a descrip- tion of the properties and after that the provisions run as follows :- "Therefore you shall yourself pay the quit rent, etc., payable herefor every year to the Government and enjoy the same permanently from your son to grandson and so on heredi- tarily. For my lifetime you shall pay for our maintenance expenses Rs. 360 per year every year, before the month of Palguna of the respective years. ' ' The remaining clauses of the deed enjoin upon the recipients thereof the duty of realizing all debts due to the executant by other people and also of paying all just debts due by her. It is stated finally that the lands are under an izara lease executed by the widow in favour of one Narasimha Naidu which is due to expire 661 by the end of 1346 Fasli and it would be for the daughter and son-in-law to consider what they would do with regard to the lease.</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There are no words of transfer used in the deed, though the widow purports to endow her son-in-law and daughter with hereditary rights of enjoyment in the property. The document is described as a release and is stamped as such. Apparent- ly it comprises all the properties which the widow had, and in a sense the document indicates an intention on the part of the lady to give up all connection with business affairs.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 xml:space="preserve">Prima facie, these facts lend support to the story of sur- render. It is not and cannot be disputed that there can be a surrender even when the next reversioner is a female heir herself who takes a limited interest in the property, though such surrender cannot give her a larger interest than she would get as an heir under the law of inheritance. The whole difficulty in this case, however, is created by the fact that the widow purports to exercise her right of relin- quishment of her husband's estate in favour of two persons, </w:t>
      </w:r>
      <w:r w:rsidRPr="006E32EC">
        <w:rPr>
          <w:rFonts w:ascii="Rockwell" w:eastAsia="Times New Roman" w:hAnsi="Rockwell" w:cs="Times New Roman"/>
          <w:color w:val="000000"/>
          <w:lang w:eastAsia="en-IN"/>
        </w:rPr>
        <w:lastRenderedPageBreak/>
        <w:t>one of whom is a next heir, but the other, though related to her as son-in-law, is a complete stranger so far as rights of inheritance are concerned; and there can be no doubt that she intended that her husband's estate should go to the son-in-law jointly with her own daughter.</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The doctrine of surrender or relinquishment by the widow of her interest in the husband's estate which has the effect of accelerating the inheritance in favour the next heir of her husband is now a well-settled doctrine of Hindu law which has been established by a long series of judicial decisions. Though the judicial pronouncements cannot be said to be altogether uniform or consistent, yet there can be no doubt as regards the basic principle upon which the doctrine rests, namely, that it is the self-effacement by the widow or the withdrawal of her life estate which opens the estate of the deceased husband to his next heirs at that date. "It must be remembered" thus observed the 662 Judicial Committee in Vytla Sitanna v. Mariwada(1) "that the basis of the doctrine. is the effacement of the widow's estate and not the ex facie transfer by which such effacement is brought about. The result merely is that the next heir of the husband steps into the succession in the widow's place". This effacement may be effected by any process and it is not necessary that any particular form should be employed. All that is required is that there should be a bona fide and total renunciation of the widow's right to hold the property and the surrender should not be a mere device to divide the estate with the reversioners: vide Rangasami Goundan v. Nachiappa Goundan(2). It would be clear from the principle underlying the doctrine of surren- der that no surrender and consequent acceleration of estate can possibly be made in favour of anybody except the next heir of the husband. It is true that no acceptance or act of consent on the part of the reversioner is necessary in order that the estate might vest in him; vesting takes place under operation of law. But it is not possible for the widow to say that she is withdrawing herself from her husband's estate in order that it might vest in somebody other than the next heir of the husband. In favour of a stranger there can be an act of transfer but not one of renunciation. The position is not materially altered if, as has happened in the present case, the surrender is made in favour of the next heir with whom a stranger is associated and the widow purports to relinquish the estate in order that it might vest in both of them. So far as the next heir is concerned, there cannot be in such a case a surrender of the totality of interest which the widow had, for she actually directs that a portion of it should be held or enjoyed by somebody else other than the husband's heir. As regards the strang- er, there can be no question of renunciation; the transac- tion at the most may be evidence of an intention to confer a bounty on him, though such intention is not clothed in proper legal form.</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(1) L.R. 61 I.A. 200at 207, (2) L.R. 41 I.A, 72, 663 Mr. Rajah Aiyar made a strenuous attempt to induce us to hold that the document is a composite document combining really two separate transactions, one, an act of surrender by the widow of the entire estate in favour of her daughter and the other a transfer of a portion of the interest which thus vested in the daughter in favour of her husband. If the document could be read and interpreted that way, obvi- ously the decision should be in favour of the appellants;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 xml:space="preserve">but, in our opinion, there seem to be difficulties and those of an insuperable character in the way of the document being interpreted as such. Neither in form nor in substance does the document purport to be a relinquishment of the entire widow's estate in favour of the daughter alone, nor is there any indication that the interest intended to be given to the son-in-law was being received by him by way of transfer from the daughter. The document is not one executed by the widow and her daughter jointly in favour of the son-in-law con- taining a recital of relinquishment of the estate by the widow in favour of the daughter and transferring a portion of the same to the son-in-law. The daughter does not </w:t>
      </w:r>
      <w:r w:rsidRPr="006E32EC">
        <w:rPr>
          <w:rFonts w:ascii="Rockwell" w:eastAsia="Times New Roman" w:hAnsi="Rockwell" w:cs="Times New Roman"/>
          <w:color w:val="000000"/>
          <w:lang w:eastAsia="en-IN"/>
        </w:rPr>
        <w:lastRenderedPageBreak/>
        <w:t>figure as an executant of the deed nor even as an attesting wit- ness. She is the recipient of the deed along with her husband and it is impossible to spell out of the document either that she received the entire estate on renunciation by her mother or transferred or even consented to transfer a portion of it to her husband.</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Mr. Aiyar in support of his contention placed great reliance upon the principle enunciated in the Full Bench decision of the Calcutta High Court in Nobokishore v.</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Narinath(1) which was impliedly accepted by the Judicial Committee in Rangasami Goundan v. Nachiappa Goundan(2). It was held by the Calcutta High Court in a number of cases which were reviewed and affirmed in Nobokishore v.</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Harinath(1), that a widow is entitled to sell or transfer the (1) I.L.R. </w:t>
      </w:r>
      <w:r w:rsidRPr="006E32EC">
        <w:rPr>
          <w:rFonts w:ascii="Rockwell" w:eastAsia="Times New Roman" w:hAnsi="Rockwell" w:cs="Times New Roman"/>
          <w:color w:val="0000FF"/>
          <w:u w:val="single"/>
          <w:lang w:eastAsia="en-IN"/>
        </w:rPr>
        <w:t>10 Cal. 1102.</w:t>
      </w:r>
      <w:r w:rsidRPr="006E32EC">
        <w:rPr>
          <w:rFonts w:ascii="Rockwell" w:eastAsia="Times New Roman" w:hAnsi="Rockwell" w:cs="Times New Roman"/>
          <w:color w:val="000000"/>
          <w:lang w:eastAsia="en-IN"/>
        </w:rPr>
        <w:t> (2) L.R. 46 I.A. 72, 664 entire estate of her husband without any necessity but with the consent of the next reversioner so as to bar the rights of the actual reversioner at the time of her death. This was explained by the Judicial Committee as an extension of the principle of surrender in Rangasami Goundaan v. Nachiappa Goundan(1) "The surrender, once exercised", observed their Lordships, "in favour of the nearest reversioner or rever- sioners, the estate became his or theirs, and it was an obvious extension of the doctrine to hold that inasmuch as he or they were in title to convey to a third party, it came to the same thing if the conveyance was made by the widow with his or their consent. This was decided to be possible by Nobokishore's case(2) already cited. The judgment went upon the principle of surrender, and it might do so for the surrender there was of the whole estate: but if.- is worthy of notice that the order of reference showed that the alien- ation was ostensibly on the ground of necessity, so that it might have been supported on the grounds to be mentioned under the second head above set forth." It would be quite consistent with established princi- ples of law if the widow relinquishes her interest in the husband's estate and the reversioner in whom the estate vests transfers the estate either in whole or in part to another person. If the transfer is of the entire estate, the two transactions may be combined in one document and the widow and the reversioner might jointly transfer the whole estate to a stranger but the implication in such cases must always be that the alienee derives his title from the rever- sioner and not the widow. The extension of this doctrine in the class of cases of which Nobokishore v. Harinath (2) may be taken as the type seems to be rather far-fetched and somewhat anomalous. In these cases the effect of the imme- diate reversioner's giving consent to the alienation of the whole estate by the widow to a stranger has been held to import a double fiction: the first is the fiction of a surrender by the widow in favour of the consenting rever- sioner and the second is the fiction of (1) I.L.R, 46 I.A, </w:t>
      </w:r>
      <w:r w:rsidRPr="006E32EC">
        <w:rPr>
          <w:rFonts w:ascii="Rockwell" w:eastAsia="Times New Roman" w:hAnsi="Rockwell" w:cs="Times New Roman"/>
          <w:color w:val="0000FF"/>
          <w:u w:val="single"/>
          <w:lang w:eastAsia="en-IN"/>
        </w:rPr>
        <w:t>72, (2) I.L,R, 10</w:t>
      </w:r>
      <w:r w:rsidRPr="006E32EC">
        <w:rPr>
          <w:rFonts w:ascii="Rockwell" w:eastAsia="Times New Roman" w:hAnsi="Rockwell" w:cs="Times New Roman"/>
          <w:color w:val="000000"/>
          <w:lang w:eastAsia="en-IN"/>
        </w:rPr>
        <w:t> Cal 1102.</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 xml:space="preserve">665 a transfer by the latter to the alienee, although both fictions are contrary to the actual facts. It is difficult to say in the first place why a surrender should be presume- dat all when the widow gives the property directly to the stranger and not to the reversioner. Even if this position is assumed, then also the question arises as to how the consent of a party can take the place of a conveyance which is requisite for the purpose of vesting title in a transfer- ee. A consent merely binds the consenting party or anybody else who derives his title from him. If the actual rever- sioner at the date of the widow's death is the same person who gave his consent, obviously he can be precluded from challenging the transfer; but if the actual reversioner is a different person, there seems to be no justification for holding that he would be bound by the consent expressed by a person who had nothing but a chance of succession at that time and which chance did not materialize at all. (See observations of Mahajan J. in Ali Mohammad v. Mst. Nughlani (1). Sir Richard Garth C.J. in his judgment in Nobokishore v. Harinath (,2) expressed considerable doubt as to the propriety of the view which would make a sale by the </w:t>
      </w:r>
      <w:r w:rsidRPr="006E32EC">
        <w:rPr>
          <w:rFonts w:ascii="Rockwell" w:eastAsia="Times New Roman" w:hAnsi="Rockwell" w:cs="Times New Roman"/>
          <w:color w:val="000000"/>
          <w:lang w:eastAsia="en-IN"/>
        </w:rPr>
        <w:lastRenderedPageBreak/>
        <w:t>widow with the consent of her reversioner stand on the same foot- ing as an actual renunciation. But in view of a series of previous decisions of the court he was constrained to accept that view as correct.</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It may be necessary for this court at some time or other to reconsider the whole law on this subject. It seems probable that the Privy Council did not subject the decision in Nobokishore's case to a critical examination from the point of view of the doctrine of surrender, as the transfer in that case was upheld on the ground of legal necessity as well. For the purpose of the present case we will proceed on the assumption that the law laid down in Nobokishore's case is correct. But the doctrine should certainly not be extended any further. As was felicitously expressed by Sir Lawrence Jenkins, "The road to the decision in Noboki- shore's case was not without its difficulties but the learned (1) A.I.R. 1946 Lah. 180 at </w:t>
      </w:r>
      <w:r w:rsidRPr="006E32EC">
        <w:rPr>
          <w:rFonts w:ascii="Rockwell" w:eastAsia="Times New Roman" w:hAnsi="Rockwell" w:cs="Times New Roman"/>
          <w:color w:val="0000FF"/>
          <w:u w:val="single"/>
          <w:lang w:eastAsia="en-IN"/>
        </w:rPr>
        <w:t>188. (2) I.L.R. 10</w:t>
      </w:r>
      <w:r w:rsidRPr="006E32EC">
        <w:rPr>
          <w:rFonts w:ascii="Rockwell" w:eastAsia="Times New Roman" w:hAnsi="Rockwell" w:cs="Times New Roman"/>
          <w:color w:val="000000"/>
          <w:lang w:eastAsia="en-IN"/>
        </w:rPr>
        <w:t> Cal. 1102.</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666 Judges felt it had to be travelled that titles might be quieted. But it is settled that there should be no exten- sion of this Bengal doctrine": Per Jenkins C.J. in Debipro- sad v. Gola Bhagat (1).</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The present case obviously does not come within the purview of the doctrine laid down in Nobokishore v. Harinath (2) which presupposes an alienation of the entire property in favour of a stranger to which the immediate reversioner was a consenting party. Here it cannot be said that the entire interest was transferred to the son-in-law of the widow with the consent of her daughter. The interest trans- ferred was a fraction the interest held by the widow and strictly speaking, there was no consent expressed by the daughter. She was a sort of a co-assignee with her husband. Mr. Aiyar contends that her consent was implied by her accepting the deed and joining in several subsequent transactions on the basis of the same, and once this consent is established we can import the fiction of surrender in her favour of the entire estate, and if that fiction could be invoked it would be only a logical extension of the principle in Nobokishore's case to hold that a part transfer in favour of a stranger could also be validated on the theory of surrender. We are unable to accept this chain of reasoning as sound. As stated above, it would be most improper to extend the doctrine in Nobokishore's case which is not itself based on sound legal principles to what Mr. Aiyar calls, its logical conse- quence. We cannot invoke the fiction of surrender in a case like this when the renunciation, if any, was of a part of the estate; and the attempt to validate a part alienation by the widow in favour of a stranger on the basis of the doctrine of surrender, simply because the reversioner has impliedly assented to it, is, in our opinion, absolutely unwarranted.</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It remains to notice a few decisions of the Calcutta and Bombay High Courts upon which Mr. Rajah Aiyar relies in support of his contention. The case of Abhay (1) I.L.R. </w:t>
      </w:r>
      <w:r w:rsidRPr="006E32EC">
        <w:rPr>
          <w:rFonts w:ascii="Rockwell" w:eastAsia="Times New Roman" w:hAnsi="Rockwell" w:cs="Times New Roman"/>
          <w:color w:val="0000FF"/>
          <w:u w:val="single"/>
          <w:lang w:eastAsia="en-IN"/>
        </w:rPr>
        <w:t>40 Cal. 721</w:t>
      </w:r>
      <w:r w:rsidRPr="006E32EC">
        <w:rPr>
          <w:rFonts w:ascii="Rockwell" w:eastAsia="Times New Roman" w:hAnsi="Rockwell" w:cs="Times New Roman"/>
          <w:color w:val="000000"/>
          <w:lang w:eastAsia="en-IN"/>
        </w:rPr>
        <w:t> at </w:t>
      </w:r>
      <w:r w:rsidRPr="006E32EC">
        <w:rPr>
          <w:rFonts w:ascii="Rockwell" w:eastAsia="Times New Roman" w:hAnsi="Rockwell" w:cs="Times New Roman"/>
          <w:color w:val="0000FF"/>
          <w:u w:val="single"/>
          <w:lang w:eastAsia="en-IN"/>
        </w:rPr>
        <w:t>781. (2) I.L.R. 10</w:t>
      </w:r>
      <w:r w:rsidRPr="006E32EC">
        <w:rPr>
          <w:rFonts w:ascii="Rockwell" w:eastAsia="Times New Roman" w:hAnsi="Rockwell" w:cs="Times New Roman"/>
          <w:color w:val="000000"/>
          <w:lang w:eastAsia="en-IN"/>
        </w:rPr>
        <w:t> Cal. 1102.</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 xml:space="preserve">667 Padha v. Ramkinkar(1), decided by a Division Bench of the Calcutta High Court, seems to be very similar in its' facts to the present case, and prima facie it is in favour of the appellants. There a Hindu widow executed a 'nadabi patra' or deed of release in favour of her husband's brother who was the nearest reversioner and three sons of a predeceased 'brother of her husband. After the death of the widow the husband's brother instituted a suit for recovery of posses- sion of the entire property denying the rights of his neph- ews under the deed executed by the widow. The suit was dismissed by both the courts below and this decision was affirmed in second appeal by the High Court. The point was definitely raised before the High Court that the transaction could not be upheld on the footing of surrender as it was partly a surrender in favour of the next heir and partly an alienation in favour of certain remoter heirs. This point was disposed of by </w:t>
      </w:r>
      <w:r w:rsidRPr="006E32EC">
        <w:rPr>
          <w:rFonts w:ascii="Rockwell" w:eastAsia="Times New Roman" w:hAnsi="Rockwell" w:cs="Times New Roman"/>
          <w:color w:val="000000"/>
          <w:lang w:eastAsia="en-IN"/>
        </w:rPr>
        <w:lastRenderedPageBreak/>
        <w:t>Cumming J., who delivered the judgment, in the following manner:" I do not think that there is much substance in this contention. It is a question more of form than of substance. If the widow had surrendered the whole estate to the reversioner and the reversioner had at the same moment made a transfer of his estate to his nephews nothing could be said against the transaction, and this is what in effect has been done by the present document." We do not know what the contents of the document in the case actually were, nor whether the husband's brother joined in the execution of the document. Be that what it may, we cannot for the reasons already discussed accept the view that a transfer made by a widow of her entire estate in favour of the nearest reversioner and an outsider jointly would operate as a surrender of the whole estate to the immediate reversioner and a transfer of a half share in it to the stranger. This, of course, is subject to any rule of estoppel that may on proper materials be urged against the presumptive reversioner. This is precisely the view that has (1) A.I.R. 1926 Cal. 228.</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668 been taken by the Allahabad High Court in Mr. Jagrani v.</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Gaya(1) and, in our opinion, this is the correct view to take.</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The learned 'counsel for the appellants has in this connection referred us to two decided authorities of the Bombay High Court. The first is the case of Yeshwanta v.</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Antu(2), where the widow together with her daughter who was the immediate heir executed a deed of gift of the entire estate in favour of a stranger who was the husband of a predeceased daughter. It was held that the transaction was valid on the basis of the doctrine of surrender. It is quite clear that this case comes directly within the purview of the principle enunciated in Nobokishore's case, and there are two material facts which distinguish it from the case before us. In the first place, the reversioner joined with the widow in making the transfer in favour of a stranger and secondly, the transfer to the stranger was of the entire estate. There can be no difficulty in construing such a transaction as a valid act of surrender.</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Of the other case which is to be found reported in Bala Dhondi v. Baya(3) the facts are somewhat similar to those in the present case, but the actual decision does not assist the appellants. There a Hindu widow made a gift of the entire estate of her husband in favour of her daughter and her husband jointly, the daughter being the next heir at that time. The lower appellate court held that the gift was a valid surrender, but this decision was reversed by the High Court on appeal and it was held that the transaction was not valid in law inasmuch as it was not a gift in favour of the daughter alone but in favour of her son-in-law as well who was to take jointly with the daughter. It was further held that the daughter being a minor. was not compe- tent to consent to the gift in favour of her husband. It is true that there is no question of minority in the present case, but the decision certainly is no authority on the point which we are called upon to (1) A.I.R. 1933 All. 856. (3) I.L.R. </w:t>
      </w:r>
      <w:r w:rsidRPr="006E32EC">
        <w:rPr>
          <w:rFonts w:ascii="Rockwell" w:eastAsia="Times New Roman" w:hAnsi="Rockwell" w:cs="Times New Roman"/>
          <w:color w:val="0000FF"/>
          <w:u w:val="single"/>
          <w:lang w:eastAsia="en-IN"/>
        </w:rPr>
        <w:t>60 Bom. 211.</w:t>
      </w:r>
      <w:r w:rsidRPr="006E32EC">
        <w:rPr>
          <w:rFonts w:ascii="Rockwell" w:eastAsia="Times New Roman" w:hAnsi="Rockwell" w:cs="Times New Roman"/>
          <w:color w:val="000000"/>
          <w:lang w:eastAsia="en-IN"/>
        </w:rPr>
        <w:t> (2) I.L.R. </w:t>
      </w:r>
      <w:r w:rsidRPr="006E32EC">
        <w:rPr>
          <w:rFonts w:ascii="Rockwell" w:eastAsia="Times New Roman" w:hAnsi="Rockwell" w:cs="Times New Roman"/>
          <w:color w:val="0000FF"/>
          <w:u w:val="single"/>
          <w:lang w:eastAsia="en-IN"/>
        </w:rPr>
        <w:t>58 Bom. 521.</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669 decide. In our opinion, the view taken by the High Court in regard to the legal effect of the document (Exhibit P-6) is the correct one and the first contention raised by Mr. Rajah Aiyar should therefore fail.</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 xml:space="preserve">We now come to the other point which relates to the question of mesne profits. Mr. Aiyar's main contention under this head is that as an alienation by the widow is not void but only voidable and the reversioner can avoid it by choos- ing to institute a suit, the possession of the alienee could not be held to be unlawful before that date and consequently no mesne profits should have been allowed for the period prior to the </w:t>
      </w:r>
      <w:r w:rsidRPr="006E32EC">
        <w:rPr>
          <w:rFonts w:ascii="Rockwell" w:eastAsia="Times New Roman" w:hAnsi="Rockwell" w:cs="Times New Roman"/>
          <w:color w:val="000000"/>
          <w:lang w:eastAsia="en-IN"/>
        </w:rPr>
        <w:lastRenderedPageBreak/>
        <w:t>institution of the suit. The other branch of his contention is that in respect of property No. 1 of the schedule there was only a conditional decree passed against defendants 2 and a and so long as the condition is not fulfilled by the plaintiffs depositing the required amount in court, the plaintiffs' right to take possession does not accrue and consequently no mesne profits can be allowed to them. In support of this contention, reliance has been placed upon the decision of the Allahabad High Court in Banwarilal v. Mahesh(1).</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As regards the first branch of the contention, it may be pointed out that prior to the decision of the Judicial Committee in Bijoya Gopal v. Krishna Mahishi(2) there was some misconception regarding the legal position of. an alienee of a property from a Hindu widow visa vis the rever- sioner, upon the death of the widow. It was held in an earlier case by the Judicial Committee that an alienation by the widow was not void but voidable and the reversioner might elect to assent to it and treat it as valid.. It did not absolutely come to an end at the death of the widow. On the strength of this decision, it was held by the Calcutta High Court in Bijoya Gopal v. Krishna Mahishi(2) (supra) that it was necessary for a reversioner to have the aliena- tion set aside before he could recover possession of the widow's property and the period of limitation for a suit to set aside such an alienation was that (1) I.L.R. 41 All. </w:t>
      </w:r>
      <w:r w:rsidRPr="006E32EC">
        <w:rPr>
          <w:rFonts w:ascii="Rockwell" w:eastAsia="Times New Roman" w:hAnsi="Rockwell" w:cs="Times New Roman"/>
          <w:color w:val="0000FF"/>
          <w:u w:val="single"/>
          <w:lang w:eastAsia="en-IN"/>
        </w:rPr>
        <w:t>63. (2) I.L.R. 34</w:t>
      </w:r>
      <w:r w:rsidRPr="006E32EC">
        <w:rPr>
          <w:rFonts w:ascii="Rockwell" w:eastAsia="Times New Roman" w:hAnsi="Rockwell" w:cs="Times New Roman"/>
          <w:color w:val="000000"/>
          <w:lang w:eastAsia="en-IN"/>
        </w:rPr>
        <w:t> Cal. 329, 670 prescribed by article 91 of the Indian Limitation Act. On appeal to the Privy Council, it was pointed out by their Lordships that this view was based on a misconception and they explained in what sense a transfer by a Hindu widow was not void but voidable. It was said that the alienation by a Hindu widow does not become ipso facto void as soon as the widow dies; for, if that were so, it could not have been ratified by the reversioners at all. The alienation, though not absolutely void, is prima facie voidable at the election of the reversionary heir. He may, if he thinks fit, affirm it or he may at his pleasure treat it as a nullity without the intervention of any court and he can show his election to do the latter by commencing an action to recover posses- sion of the property. There is in fact nothing for the court either to set aside or cancel as a condition precedent to the right of action of the reversionary heir. A rever- sioner's suit for recovery of possession of the property alienated by a widow, it is well settled, is governed by article 141 of the Limitation Act, and as it is not neces- sary that the transfer should be set aside before any decree for possession is made, all that is necessary is that the reversioner should file a suit for possession within 12 years from the death of the widow and a decree passed in such a suit must be on the basis that the possession of the transferee was unlawful ever since the widow died. This being the position, we think that it is quite proper to allow the reversioner mesne profits against the alienee from the date of the widow's death. There is no rule of law that no mesne profits can be allowed in a case where the aliena- tion cannot be described as absolutely void. The decisions of the Judicial Committee in Bhagwat Dayat v. Debi Dayal(1) and Satgur Prasad v. Harnarain Singh(2) may be cited as illustrations where mesne profits were allowed in transac- tions which were only voidable. We think further that there is a difference between the alienee of a widow and the transferee of joint property from a Mitakshara father. A son of a Mitakshara father is bound to set aside an (1) L.R. 35 I.A. 48. (2) L.R. 59 I.A. 147, 671 alienation made by the father within the period laid down in Article 125 of the Indian Limitation Act and it is only on the alienation being set aside that he is entitled to recov- er possession of the property. The High Court, in our opinion, was perfectly right in holding that the decision in Banwarilal v. Mahesh(1) which related to a suit instituted by a son against an alienee of the father under the Mitak- shara law does not apply to the facts of the present case.</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 xml:space="preserve">It is true that as regards defendants 2 and 3 the decree is a conditional decree and the plaintiff cannot recover pos- session unless he pays a certain amount of money to the extent of which the widow's estate has been held to be benefitted, but the High Court has </w:t>
      </w:r>
      <w:r w:rsidRPr="006E32EC">
        <w:rPr>
          <w:rFonts w:ascii="Rockwell" w:eastAsia="Times New Roman" w:hAnsi="Rockwell" w:cs="Times New Roman"/>
          <w:color w:val="000000"/>
          <w:lang w:eastAsia="en-IN"/>
        </w:rPr>
        <w:lastRenderedPageBreak/>
        <w:t>very properly allowed interest upon this amount to the alienee while making the latter liable for the mesne profits.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The result is that, in our opinion, the decision of the High Court cannot be assailed on either of these two points and the appeal therefore fails and is dismissed with costs.</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Appeal dismissed.</w:t>
      </w:r>
    </w:p>
    <w:p w:rsidR="006E32EC" w:rsidRPr="006E32EC" w:rsidRDefault="006E32EC" w:rsidP="006E32EC">
      <w:pPr>
        <w:spacing w:before="100" w:beforeAutospacing="1" w:after="100" w:afterAutospacing="1" w:line="240" w:lineRule="auto"/>
        <w:rPr>
          <w:rFonts w:ascii="Rockwell" w:eastAsia="Times New Roman" w:hAnsi="Rockwell" w:cs="Times New Roman"/>
          <w:color w:val="000000"/>
          <w:lang w:eastAsia="en-IN"/>
        </w:rPr>
      </w:pPr>
      <w:r w:rsidRPr="006E32EC">
        <w:rPr>
          <w:rFonts w:ascii="Rockwell" w:eastAsia="Times New Roman" w:hAnsi="Rockwell" w:cs="Times New Roman"/>
          <w:color w:val="000000"/>
          <w:lang w:eastAsia="en-IN"/>
        </w:rPr>
        <w:t>Agent for the appellants: M.S.K. Aiyangar. Agent for the respondents: M.S.K. Sastri.</w:t>
      </w:r>
    </w:p>
    <w:p w:rsidR="00C816F4" w:rsidRDefault="00D00D79"/>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0C"/>
    <w:rsid w:val="0020290C"/>
    <w:rsid w:val="006E32EC"/>
    <w:rsid w:val="00980F0C"/>
    <w:rsid w:val="00D00D79"/>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FDA88-1C92-4E3E-A58B-B97FCDC3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32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2E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E32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3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5128</Words>
  <Characters>29230</Characters>
  <Application>Microsoft Office Word</Application>
  <DocSecurity>0</DocSecurity>
  <Lines>243</Lines>
  <Paragraphs>68</Paragraphs>
  <ScaleCrop>false</ScaleCrop>
  <Company/>
  <LinksUpToDate>false</LinksUpToDate>
  <CharactersWithSpaces>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2023-05-08T17:48:00Z</dcterms:created>
  <dcterms:modified xsi:type="dcterms:W3CDTF">2023-07-03T09:34:00Z</dcterms:modified>
</cp:coreProperties>
</file>