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pacing w:lineRule="auto" w:line="276" w:before="0" w:after="60"/>
        <w:jc w:val="right"/>
        <w:rPr/>
      </w:pPr>
      <w:r>
        <w:rPr>
          <w:rFonts w:ascii="Microsoft YaHei" w:hAnsi="Microsoft YaHei" w:eastAsia="Microsoft YaHei"/>
          <w:sz w:val="21"/>
        </w:rPr>
        <w:t>密级：内部资料</w:t>
      </w:r>
    </w:p>
    <w:p>
      <w:pPr>
        <w:pStyle w:val="Normal"/>
        <w:spacing w:lineRule="auto" w:line="276" w:before="0" w:after="480"/>
        <w:rPr/>
      </w:pPr>
      <w:r>
        <w:rPr>
          <w:rFonts w:ascii="Microsoft YaHei" w:hAnsi="Microsoft YaHei" w:eastAsia="Microsoft YaHei"/>
          <w:sz w:val="21"/>
        </w:rPr>
      </w:r>
    </w:p>
    <w:p>
      <w:pPr>
        <w:pStyle w:val="Normal"/>
        <w:spacing w:lineRule="auto" w:line="276" w:before="0" w:after="0"/>
        <w:jc w:val="center"/>
        <w:rPr/>
      </w:pPr>
      <w:r>
        <w:rPr>
          <w:rFonts w:ascii="Microsoft YaHei" w:hAnsi="Microsoft YaHei" w:cs="Times New Roman" w:eastAsia="Microsoft YaHei"/>
          <w:b/>
          <w:sz w:val="28"/>
        </w:rPr>
        <w:t>产品名称</w:t>
      </w:r>
    </w:p>
    <w:p>
      <w:pPr>
        <w:spacing w:lineRule="auto" w:line="276" w:before="0" w:after="480"/>
        <w:jc w:val="center"/>
        <w:rPr/>
      </w:pPr>
      <w:r>
        <w:rPr>
          <w:rFonts w:ascii="Microsoft YaHei" w:hAnsi="Microsoft YaHei" w:eastAsia="Microsoft YaHei"/>
          <w:sz w:val="21"/>
        </w:rPr>
        <w:t>SuperRAG 企业私有知识驱动的软件工程辅助系统</w:t>
      </w:r>
    </w:p>
    <w:p>
      <w:pPr>
        <w:spacing w:lineRule="auto" w:line="276" w:before="0" w:after="720"/>
        <w:jc w:val="center"/>
        <w:rPr/>
      </w:pPr>
      <w:r>
        <w:rPr>
          <w:rFonts w:ascii="Microsoft YaHei" w:hAnsi="Microsoft YaHei" w:eastAsia="Microsoft YaHei"/>
          <w:sz w:val="21"/>
        </w:rPr>
        <w:t>SuperRAG 企业私有知识驱动的软件工程辅助系统</w:t>
        <w:br/>
        <w:t>软件测试大纲</w:t>
      </w:r>
    </w:p>
    <w:p>
      <w:pPr>
        <w:spacing w:lineRule="auto" w:line="276" w:before="0" w:after="1600"/>
        <w:jc w:val="center"/>
        <w:rPr/>
      </w:pPr>
      <w:r>
        <w:rPr>
          <w:rFonts w:ascii="Microsoft YaHei" w:hAnsi="Microsoft YaHei" w:eastAsia="Microsoft YaHei"/>
          <w:sz w:val="21"/>
        </w:rPr>
        <w:t>文件编号：SRAG-TST-OUTLINE-20260603-V1.0</w:t>
      </w:r>
    </w:p>
    <w:p>
      <w:pPr>
        <w:spacing w:lineRule="auto" w:line="276" w:before="0" w:after="120"/>
        <w:jc w:val="center"/>
        <w:rPr/>
      </w:pPr>
      <w:r>
        <w:rPr>
          <w:rFonts w:ascii="Microsoft YaHei" w:hAnsi="Microsoft YaHei" w:eastAsia="Microsoft YaHei"/>
          <w:sz w:val="21"/>
        </w:rPr>
        <w:t>编制：SuperRAG 项目组</w:t>
      </w:r>
    </w:p>
    <w:p>
      <w:pPr>
        <w:pStyle w:val="Normal"/>
        <w:spacing w:lineRule="auto" w:line="276" w:before="0" w:after="1600"/>
        <w:jc w:val="center"/>
        <w:rPr/>
      </w:pPr>
      <w:r>
        <w:rPr>
          <w:rFonts w:ascii="Microsoft YaHei" w:hAnsi="Microsoft YaHei" w:cs="Times New Roman" w:eastAsia="Microsoft YaHei"/>
          <w:b w:val="false"/>
          <w:sz w:val="24"/>
        </w:rPr>
        <w:t>版本号：</w:t>
      </w:r>
      <w:r>
        <w:rPr>
          <w:rFonts w:eastAsia="Microsoft YaHei" w:cs="Times New Roman" w:ascii="Microsoft YaHei" w:hAnsi="Microsoft YaHei"/>
          <w:b w:val="false"/>
          <w:sz w:val="24"/>
        </w:rPr>
        <w:t>V1.0</w:t>
      </w:r>
    </w:p>
    <w:p>
      <w:pPr>
        <w:spacing w:lineRule="auto" w:line="276" w:before="0" w:after="60"/>
        <w:jc w:val="center"/>
        <w:rPr/>
      </w:pPr>
      <w:r>
        <w:rPr>
          <w:rFonts w:ascii="Microsoft YaHei" w:hAnsi="Microsoft YaHei" w:eastAsia="Microsoft YaHei"/>
          <w:sz w:val="21"/>
        </w:rPr>
        <w:t>二○二六年六月三日</w:t>
      </w:r>
    </w:p>
    <w:p>
      <w:pPr>
        <w:pStyle w:val="Normal"/>
        <w:rPr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sz w:val="21"/>
        </w:rPr>
        <w:br w:type="page"/>
      </w:r>
    </w:p>
    <w:p>
      <w:pPr>
        <w:spacing w:lineRule="auto" w:line="276" w:before="0" w:after="60"/>
        <w:jc w:val="right"/>
        <w:rPr/>
      </w:pPr>
      <w:r>
        <w:rPr>
          <w:rFonts w:ascii="Microsoft YaHei" w:hAnsi="Microsoft YaHei" w:eastAsia="Microsoft YaHei"/>
          <w:sz w:val="21"/>
        </w:rPr>
        <w:t>密级：内部资料</w:t>
      </w:r>
    </w:p>
    <w:p>
      <w:pPr>
        <w:spacing w:lineRule="auto" w:line="276" w:before="0" w:after="60"/>
        <w:jc w:val="center"/>
        <w:rPr/>
      </w:pPr>
      <w:r>
        <w:rPr>
          <w:rFonts w:ascii="Microsoft YaHei" w:hAnsi="Microsoft YaHei" w:eastAsia="Microsoft YaHei"/>
          <w:sz w:val="21"/>
        </w:rPr>
        <w:t>SuperRAG 企业私有知识驱动的软件工程辅助系统</w:t>
      </w:r>
    </w:p>
    <w:p>
      <w:pPr>
        <w:pStyle w:val="Normal"/>
        <w:spacing w:lineRule="auto" w:line="276" w:before="0" w:after="60"/>
        <w:jc w:val="center"/>
        <w:rPr/>
      </w:pPr>
      <w:r>
        <w:rPr>
          <w:rFonts w:ascii="Microsoft YaHei" w:hAnsi="Microsoft YaHei" w:cs="Times New Roman" w:eastAsia="Microsoft YaHei"/>
          <w:b/>
          <w:sz w:val="40"/>
        </w:rPr>
        <w:t>软件测试大纲</w:t>
      </w:r>
    </w:p>
    <w:p>
      <w:pPr>
        <w:spacing w:lineRule="auto" w:line="276" w:before="0" w:after="60"/>
        <w:jc w:val="center"/>
        <w:rPr/>
      </w:pPr>
      <w:r>
        <w:rPr>
          <w:rFonts w:ascii="Microsoft YaHei" w:hAnsi="Microsoft YaHei" w:eastAsia="Microsoft YaHei"/>
          <w:sz w:val="21"/>
        </w:rPr>
        <w:t>文件编号：SRAG-TST-OUTLINE-20260603-V1.0</w:t>
      </w:r>
    </w:p>
    <w:p>
      <w:pPr>
        <w:pStyle w:val="Normal"/>
        <w:spacing w:lineRule="auto" w:line="276" w:before="0" w:after="480"/>
        <w:jc w:val="center"/>
        <w:rPr/>
      </w:pPr>
      <w:r>
        <w:rPr>
          <w:rFonts w:ascii="Microsoft YaHei" w:hAnsi="Microsoft YaHei" w:cs="Times New Roman" w:eastAsia="Microsoft YaHei"/>
          <w:b/>
          <w:sz w:val="32"/>
        </w:rPr>
        <w:t>签署页</w:t>
      </w:r>
    </w:p>
    <w:tbl>
      <w:tblPr>
        <w:tblStyle w:val="TableGrid"/>
        <w:tblW w:w="9297" w:type="dxa"/>
        <w:jc w:val="center"/>
        <w:tblInd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noHBand="0" w:noVBand="1" w:firstColumn="1" w:lastRow="0" w:lastColumn="0" w:firstRow="1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w="232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20"/>
                <w:szCs w:val="22"/>
                <w:lang w:val="en-US" w:eastAsia="en-US" w:bidi="ar-SA"/>
              </w:rPr>
              <w:t>角色</w:t>
            </w:r>
          </w:p>
        </w:tc>
        <w:tc>
          <w:tcPr>
            <w:tcW w:w="232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20"/>
                <w:szCs w:val="22"/>
                <w:lang w:val="en-US" w:eastAsia="en-US" w:bidi="ar-SA"/>
              </w:rPr>
              <w:t>人员</w:t>
            </w:r>
          </w:p>
        </w:tc>
        <w:tc>
          <w:tcPr>
            <w:tcW w:w="232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20"/>
                <w:szCs w:val="22"/>
                <w:lang w:val="en-US" w:eastAsia="en-US" w:bidi="ar-SA"/>
              </w:rPr>
              <w:t>项目</w:t>
            </w:r>
          </w:p>
        </w:tc>
        <w:tc>
          <w:tcPr>
            <w:tcW w:w="232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20"/>
                <w:szCs w:val="22"/>
                <w:lang w:val="en-US" w:eastAsia="en-US" w:bidi="ar-SA"/>
              </w:rPr>
              <w:t>日期</w:t>
            </w:r>
          </w:p>
        </w:tc>
      </w:tr>
      <w:tr>
        <w:trPr/>
        <w:tc>
          <w:tcPr>
            <w:tcW w:w="2324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编制</w:t>
            </w:r>
          </w:p>
        </w:tc>
        <w:tc>
          <w:tcPr>
            <w:tcW w:w="2324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SuperRAG 项目组</w:t>
            </w:r>
          </w:p>
        </w:tc>
        <w:tc>
          <w:tcPr>
            <w:tcW w:w="2324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日期</w:t>
            </w:r>
          </w:p>
        </w:tc>
        <w:tc>
          <w:tcPr>
            <w:tcW w:w="2324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2026年6月3日</w:t>
            </w:r>
          </w:p>
        </w:tc>
      </w:tr>
      <w:tr>
        <w:trPr/>
        <w:tc>
          <w:tcPr>
            <w:tcW w:w="2324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审核</w:t>
            </w:r>
          </w:p>
        </w:tc>
        <w:tc>
          <w:tcPr>
            <w:tcW w:w="2324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项目指导/评审组</w:t>
            </w:r>
          </w:p>
        </w:tc>
        <w:tc>
          <w:tcPr>
            <w:tcW w:w="2324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日期</w:t>
            </w:r>
          </w:p>
        </w:tc>
        <w:tc>
          <w:tcPr>
            <w:tcW w:w="2324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2026年6月3日</w:t>
            </w:r>
          </w:p>
        </w:tc>
      </w:tr>
      <w:tr>
        <w:trPr/>
        <w:tc>
          <w:tcPr>
            <w:tcW w:w="2324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会签</w:t>
            </w:r>
          </w:p>
        </w:tc>
        <w:tc>
          <w:tcPr>
            <w:tcW w:w="2324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SuperRAG 项目组</w:t>
            </w:r>
          </w:p>
        </w:tc>
        <w:tc>
          <w:tcPr>
            <w:tcW w:w="2324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日期</w:t>
            </w:r>
          </w:p>
        </w:tc>
        <w:tc>
          <w:tcPr>
            <w:tcW w:w="2324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2026年6月3日</w:t>
            </w:r>
          </w:p>
        </w:tc>
      </w:tr>
      <w:tr>
        <w:trPr/>
        <w:tc>
          <w:tcPr>
            <w:tcW w:w="2324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标审</w:t>
            </w:r>
          </w:p>
        </w:tc>
        <w:tc>
          <w:tcPr>
            <w:tcW w:w="2324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SuperRAG 项目组</w:t>
            </w:r>
          </w:p>
        </w:tc>
        <w:tc>
          <w:tcPr>
            <w:tcW w:w="2324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日期</w:t>
            </w:r>
          </w:p>
        </w:tc>
        <w:tc>
          <w:tcPr>
            <w:tcW w:w="2324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2026年6月3日</w:t>
            </w:r>
          </w:p>
        </w:tc>
      </w:tr>
      <w:tr>
        <w:trPr/>
        <w:tc>
          <w:tcPr>
            <w:tcW w:w="2324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批准</w:t>
            </w:r>
          </w:p>
        </w:tc>
        <w:tc>
          <w:tcPr>
            <w:tcW w:w="2324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项目负责人</w:t>
            </w:r>
          </w:p>
        </w:tc>
        <w:tc>
          <w:tcPr>
            <w:tcW w:w="2324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日期</w:t>
            </w:r>
          </w:p>
        </w:tc>
        <w:tc>
          <w:tcPr>
            <w:tcW w:w="2324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2026年6月3日</w:t>
            </w:r>
          </w:p>
        </w:tc>
      </w:tr>
    </w:tbl>
    <w:p>
      <w:pPr>
        <w:pStyle w:val="Normal"/>
        <w:rPr/>
      </w:pPr>
      <w:r>
        <w:rPr>
          <w:rFonts w:ascii="Microsoft YaHei" w:hAnsi="Microsoft YaHei" w:eastAsia="Microsoft YaHei"/>
          <w:sz w:val="21"/>
        </w:rPr>
      </w:r>
    </w:p>
    <w:p>
      <w:pPr>
        <w:pStyle w:val="Normal"/>
        <w:rPr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sz w:val="21"/>
        </w:rPr>
        <w:br w:type="page"/>
      </w:r>
    </w:p>
    <w:p>
      <w:pPr>
        <w:pStyle w:val="Heading1"/>
        <w:spacing w:before="0" w:after="100"/>
        <w:rPr/>
      </w:pPr>
      <w:bookmarkStart w:id="0" w:name="__RefHeading___Toc11264_3531209514"/>
      <w:bookmarkEnd w:id="0"/>
      <w:r>
        <w:rPr>
          <w:rFonts w:ascii="Microsoft YaHei" w:hAnsi="Microsoft YaHei" w:cs="Times New Roman" w:eastAsia="Microsoft YaHei"/>
          <w:b/>
          <w:sz w:val="32"/>
        </w:rPr>
        <w:t>文件修改记录</w:t>
      </w:r>
    </w:p>
    <w:tbl>
      <w:tblPr>
        <w:tblStyle w:val="TableGrid"/>
        <w:tblW w:w="9300" w:type="dxa"/>
        <w:jc w:val="center"/>
        <w:tblInd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noHBand="0" w:noVBand="1" w:firstColumn="1" w:lastRow="0" w:lastColumn="0" w:firstRow="1"/>
      </w:tblPr>
      <w:tblGrid>
        <w:gridCol w:w="1550"/>
        <w:gridCol w:w="1549"/>
        <w:gridCol w:w="1551"/>
        <w:gridCol w:w="1550"/>
        <w:gridCol w:w="1549"/>
        <w:gridCol w:w="1550"/>
      </w:tblGrid>
      <w:tr>
        <w:trPr>
          <w:tblHeader w:val="true"/>
        </w:trPr>
        <w:tc>
          <w:tcPr>
            <w:tcW w:w="1550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8"/>
                <w:szCs w:val="22"/>
                <w:lang w:val="en-US" w:eastAsia="en-US" w:bidi="ar-SA"/>
              </w:rPr>
              <w:t>版本号</w:t>
            </w:r>
          </w:p>
        </w:tc>
        <w:tc>
          <w:tcPr>
            <w:tcW w:w="1549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8"/>
                <w:szCs w:val="22"/>
                <w:lang w:val="en-US" w:eastAsia="en-US" w:bidi="ar-SA"/>
              </w:rPr>
              <w:t>修改原因</w:t>
            </w:r>
          </w:p>
        </w:tc>
        <w:tc>
          <w:tcPr>
            <w:tcW w:w="1551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8"/>
                <w:szCs w:val="22"/>
                <w:lang w:val="en-US" w:eastAsia="en-US" w:bidi="ar-SA"/>
              </w:rPr>
              <w:t>修改内容</w:t>
            </w:r>
          </w:p>
        </w:tc>
        <w:tc>
          <w:tcPr>
            <w:tcW w:w="1550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8"/>
                <w:szCs w:val="22"/>
                <w:lang w:val="en-US" w:eastAsia="en-US" w:bidi="ar-SA"/>
              </w:rPr>
              <w:t>修改人</w:t>
            </w:r>
          </w:p>
        </w:tc>
        <w:tc>
          <w:tcPr>
            <w:tcW w:w="1549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8"/>
                <w:szCs w:val="22"/>
                <w:lang w:val="en-US" w:eastAsia="en-US" w:bidi="ar-SA"/>
              </w:rPr>
              <w:t>修改日期</w:t>
            </w:r>
          </w:p>
        </w:tc>
        <w:tc>
          <w:tcPr>
            <w:tcW w:w="1550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8"/>
                <w:szCs w:val="22"/>
                <w:lang w:val="en-US" w:eastAsia="en-US" w:bidi="ar-SA"/>
              </w:rPr>
              <w:t>备注</w:t>
            </w:r>
          </w:p>
        </w:tc>
      </w:tr>
      <w:tr>
        <w:trPr/>
        <w:tc>
          <w:tcPr>
            <w:tcW w:w="1550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V1.0</w:t>
            </w:r>
          </w:p>
        </w:tc>
        <w:tc>
          <w:tcPr>
            <w:tcW w:w="1549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正式提交</w:t>
            </w:r>
          </w:p>
        </w:tc>
        <w:tc>
          <w:tcPr>
            <w:tcW w:w="1551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替换模板占位，依据真实 SuperRAG 项目源码、配置、接口和部署脚本形成最终测试大纲</w:t>
            </w:r>
          </w:p>
        </w:tc>
        <w:tc>
          <w:tcPr>
            <w:tcW w:w="1550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SuperRAG 项目组</w:t>
            </w:r>
          </w:p>
        </w:tc>
        <w:tc>
          <w:tcPr>
            <w:tcW w:w="1549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2026年6月3日</w:t>
            </w:r>
          </w:p>
        </w:tc>
        <w:tc>
          <w:tcPr>
            <w:tcW w:w="1550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可提交</w:t>
            </w:r>
          </w:p>
        </w:tc>
      </w:tr>
    </w:tbl>
    <w:p>
      <w:pPr>
        <w:pStyle w:val="Normal"/>
        <w:rPr/>
      </w:pPr>
      <w:r>
        <w:rPr>
          <w:rFonts w:ascii="Microsoft YaHei" w:hAnsi="Microsoft YaHei" w:eastAsia="Microsoft YaHei"/>
          <w:sz w:val="21"/>
        </w:rPr>
      </w:r>
    </w:p>
    <w:p>
      <w:pPr>
        <w:pStyle w:val="Heading1"/>
        <w:spacing w:before="160" w:after="100"/>
        <w:rPr/>
      </w:pPr>
      <w:bookmarkStart w:id="1" w:name="__RefHeading___Toc11266_3531209514"/>
      <w:bookmarkEnd w:id="1"/>
      <w:r>
        <w:rPr>
          <w:rFonts w:ascii="Microsoft YaHei" w:hAnsi="Microsoft YaHei" w:cs="Times New Roman" w:eastAsia="Microsoft YaHei"/>
          <w:b/>
          <w:sz w:val="32"/>
        </w:rPr>
        <w:t>测试大纲可写性检查表</w:t>
      </w:r>
    </w:p>
    <w:p>
      <w:pPr>
        <w:spacing w:lineRule="auto" w:line="276" w:before="0" w:after="60"/>
        <w:ind w:firstLine="420"/>
        <w:rPr/>
      </w:pPr>
      <w:r>
        <w:rPr>
          <w:rFonts w:ascii="Microsoft YaHei" w:hAnsi="Microsoft YaHei" w:eastAsia="Microsoft YaHei"/>
          <w:sz w:val="21"/>
        </w:rPr>
        <w:t>本表用于在正式编写测试大纲前确认材料可支撑的范围、缺失信息和处理方式。凡未能从项目材料中确认的内容，正文中均以SuperRAG 项目组或待确认边界保留。</w:t>
      </w:r>
    </w:p>
    <w:tbl>
      <w:tblPr>
        <w:tblStyle w:val="TableGrid"/>
        <w:tblW w:w="9300" w:type="dxa"/>
        <w:jc w:val="center"/>
        <w:tblInd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noHBand="0" w:noVBand="1" w:firstColumn="1" w:lastRow="0" w:lastColumn="0" w:firstRow="1"/>
      </w:tblPr>
      <w:tblGrid>
        <w:gridCol w:w="1550"/>
        <w:gridCol w:w="1549"/>
        <w:gridCol w:w="1551"/>
        <w:gridCol w:w="1550"/>
        <w:gridCol w:w="1549"/>
        <w:gridCol w:w="1550"/>
      </w:tblGrid>
      <w:tr>
        <w:trPr>
          <w:tblHeader w:val="true"/>
        </w:trPr>
        <w:tc>
          <w:tcPr>
            <w:tcW w:w="1550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检查项</w:t>
            </w:r>
          </w:p>
        </w:tc>
        <w:tc>
          <w:tcPr>
            <w:tcW w:w="1549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是否具备</w:t>
            </w:r>
          </w:p>
        </w:tc>
        <w:tc>
          <w:tcPr>
            <w:tcW w:w="1551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依据</w:t>
            </w:r>
          </w:p>
        </w:tc>
        <w:tc>
          <w:tcPr>
            <w:tcW w:w="1550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可写内容</w:t>
            </w:r>
          </w:p>
        </w:tc>
        <w:tc>
          <w:tcPr>
            <w:tcW w:w="1549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缺失信息</w:t>
            </w:r>
          </w:p>
        </w:tc>
        <w:tc>
          <w:tcPr>
            <w:tcW w:w="1550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处理方式</w:t>
            </w:r>
          </w:p>
        </w:tc>
      </w:tr>
      <w:tr>
        <w:trPr/>
        <w:tc>
          <w:tcPr>
            <w:tcW w:w="1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系统名称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具备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项目基本信息、设计说明软件标识</w:t>
            </w:r>
          </w:p>
        </w:tc>
        <w:tc>
          <w:tcPr>
            <w:tcW w:w="1550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SuperRAG 企业私有知识驱动的软件工程辅助系统；企业私有知识驱动的软件工程辅助系统 / SuperRAG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正式提交名称需确认</w:t>
            </w:r>
          </w:p>
        </w:tc>
        <w:tc>
          <w:tcPr>
            <w:tcW w:w="1550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标题采用 SuperRAG 企业私有知识驱动的软件工程辅助系统；系统简称采用 SuperRAG。</w:t>
            </w:r>
          </w:p>
        </w:tc>
      </w:tr>
      <w:tr>
        <w:trPr/>
        <w:tc>
          <w:tcPr>
            <w:tcW w:w="1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系统范围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具备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主系统目录与设计范围</w:t>
            </w:r>
          </w:p>
        </w:tc>
        <w:tc>
          <w:tcPr>
            <w:tcW w:w="1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第一版前端、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dify-lite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后端、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SQLite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uploads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、可选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Dify Docker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栈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是否纳入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dify-main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、独立插件工程</w:t>
            </w:r>
          </w:p>
        </w:tc>
        <w:tc>
          <w:tcPr>
            <w:tcW w:w="1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本大纲默认不纳入，列入不测试范围</w:t>
            </w:r>
          </w:p>
        </w:tc>
      </w:tr>
      <w:tr>
        <w:trPr/>
        <w:tc>
          <w:tcPr>
            <w:tcW w:w="1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功能模块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具备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模块清单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M-01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至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M-13</w:t>
            </w:r>
          </w:p>
        </w:tc>
        <w:tc>
          <w:tcPr>
            <w:tcW w:w="1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登录导航、控制台、文档、入库、检索、问答、培训、交接、设计、历史、缺口、设置、部署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部分模块真实闭环比例待确认</w:t>
            </w:r>
          </w:p>
        </w:tc>
        <w:tc>
          <w:tcPr>
            <w:tcW w:w="1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测试项中标注待确认与回退边界</w:t>
            </w:r>
          </w:p>
        </w:tc>
      </w:tr>
      <w:tr>
        <w:trPr/>
        <w:tc>
          <w:tcPr>
            <w:tcW w:w="1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功能点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具备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功能点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FP-01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至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FP-29</w:t>
            </w:r>
          </w:p>
        </w:tc>
        <w:tc>
          <w:tcPr>
            <w:tcW w:w="1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可形成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DT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DEP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REG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等测试项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未实现功能不可写为正式能力</w:t>
            </w:r>
          </w:p>
        </w:tc>
        <w:tc>
          <w:tcPr>
            <w:tcW w:w="1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未实现或待确认项列入风险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约束</w:t>
            </w:r>
          </w:p>
        </w:tc>
      </w:tr>
      <w:tr>
        <w:trPr/>
        <w:tc>
          <w:tcPr>
            <w:tcW w:w="1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接口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具备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接口清单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I-01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至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I-29</w:t>
            </w:r>
          </w:p>
        </w:tc>
        <w:tc>
          <w:tcPr>
            <w:tcW w:w="1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HTTP API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、文件接口、环境配置接口、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SQLite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、本地存储、部署命令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接口文档与代码契约差异需确认</w:t>
            </w:r>
          </w:p>
        </w:tc>
        <w:tc>
          <w:tcPr>
            <w:tcW w:w="1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以当前真实入口为准编写接口测试项</w:t>
            </w:r>
          </w:p>
        </w:tc>
      </w:tr>
      <w:tr>
        <w:trPr/>
        <w:tc>
          <w:tcPr>
            <w:tcW w:w="1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页面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具备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页面清单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P-01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至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P-10</w:t>
            </w:r>
          </w:p>
        </w:tc>
        <w:tc>
          <w:tcPr>
            <w:tcW w:w="1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登录、控制台、文档、问答、培训、交接、设计、知识缺口、历史、设置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部分页面存在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mock/fallback</w:t>
            </w:r>
          </w:p>
        </w:tc>
        <w:tc>
          <w:tcPr>
            <w:tcW w:w="1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界面测试覆盖主入口和降级提示</w:t>
            </w:r>
          </w:p>
        </w:tc>
      </w:tr>
      <w:tr>
        <w:trPr/>
        <w:tc>
          <w:tcPr>
            <w:tcW w:w="1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数据对象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具备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数据对象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D-01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至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D-14</w:t>
            </w:r>
          </w:p>
        </w:tc>
        <w:tc>
          <w:tcPr>
            <w:tcW w:w="1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Settings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Collection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Document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Chunk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Artifact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Citation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DesignOutput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HandoverOutput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等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SQLite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实际数据内容待读取</w:t>
            </w:r>
          </w:p>
        </w:tc>
        <w:tc>
          <w:tcPr>
            <w:tcW w:w="1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测试对象覆盖结构与读写，不承诺数据量</w:t>
            </w:r>
          </w:p>
        </w:tc>
      </w:tr>
      <w:tr>
        <w:trPr/>
        <w:tc>
          <w:tcPr>
            <w:tcW w:w="1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配置项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具备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配置项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CFG-01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至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CFG-27</w:t>
            </w:r>
          </w:p>
        </w:tc>
        <w:tc>
          <w:tcPr>
            <w:tcW w:w="1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.env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api-config.js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Docker env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sandbox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密钥、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CORS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Docker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示例密钥等安全策略待确认</w:t>
            </w:r>
          </w:p>
        </w:tc>
        <w:tc>
          <w:tcPr>
            <w:tcW w:w="1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安全与配置测试保留待确认标记</w:t>
            </w:r>
          </w:p>
        </w:tc>
      </w:tr>
      <w:tr>
        <w:trPr/>
        <w:tc>
          <w:tcPr>
            <w:tcW w:w="1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部署环境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具备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部署与运行信息</w:t>
            </w:r>
          </w:p>
        </w:tc>
        <w:tc>
          <w:tcPr>
            <w:tcW w:w="1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Windows + Python 3 +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浏览器；全栈模式需要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Docker / Docker Compose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生产部署方式未识别</w:t>
            </w:r>
          </w:p>
        </w:tc>
        <w:tc>
          <w:tcPr>
            <w:tcW w:w="1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仅覆盖本地轻量部署与全栈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Docker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部署</w:t>
            </w:r>
          </w:p>
        </w:tc>
      </w:tr>
      <w:tr>
        <w:trPr/>
        <w:tc>
          <w:tcPr>
            <w:tcW w:w="1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测试环境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部分具备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运行环境与端口信息</w:t>
            </w:r>
          </w:p>
        </w:tc>
        <w:tc>
          <w:tcPr>
            <w:tcW w:w="1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8088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3000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5001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8080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等端口；本地数据目录和日志目录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测试机硬件、浏览器版本、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Python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依赖清单待确认</w:t>
            </w:r>
          </w:p>
        </w:tc>
        <w:tc>
          <w:tcPr>
            <w:tcW w:w="1550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第7章按当前识别环境描述；硬件与版本由测试执行记录补充</w:t>
            </w:r>
          </w:p>
        </w:tc>
      </w:tr>
      <w:tr>
        <w:trPr/>
        <w:tc>
          <w:tcPr>
            <w:tcW w:w="1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测试类型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具备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测试类型建议</w:t>
            </w:r>
          </w:p>
        </w:tc>
        <w:tc>
          <w:tcPr>
            <w:tcW w:w="1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功能、接口、界面、配置、部署、异常、日志、安全、性能、兼容、回归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性能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权限细化依据不足</w:t>
            </w:r>
          </w:p>
        </w:tc>
        <w:tc>
          <w:tcPr>
            <w:tcW w:w="1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性能与权限按现状和待确认边界编写</w:t>
            </w:r>
          </w:p>
        </w:tc>
      </w:tr>
      <w:tr>
        <w:trPr/>
        <w:tc>
          <w:tcPr>
            <w:tcW w:w="1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性能指标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不足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输入包说明未识别正式指标</w:t>
            </w:r>
          </w:p>
        </w:tc>
        <w:tc>
          <w:tcPr>
            <w:tcW w:w="1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仅能设计响应时间、导入耗时、检索耗时、生成耗时等测试内容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响应时间、并发、文档大小、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chunk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数等准则缺失</w:t>
            </w:r>
          </w:p>
        </w:tc>
        <w:tc>
          <w:tcPr>
            <w:tcW w:w="1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写明“具体性能指标以项目验收要求或课程要求为准”</w:t>
            </w:r>
          </w:p>
        </w:tc>
      </w:tr>
      <w:tr>
        <w:trPr/>
        <w:tc>
          <w:tcPr>
            <w:tcW w:w="1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安全要求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部分具备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安全策略、异常与边界项</w:t>
            </w:r>
          </w:p>
        </w:tc>
        <w:tc>
          <w:tcPr>
            <w:tcW w:w="1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密钥不外泄、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CORS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、文件上传格式、路径访问、登录演示边界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认证、权限、审计、脱敏策略待确认</w:t>
            </w:r>
          </w:p>
        </w:tc>
        <w:tc>
          <w:tcPr>
            <w:tcW w:w="1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不写攻击性测试，采用访问控制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输入合法性检查</w:t>
            </w:r>
          </w:p>
        </w:tc>
      </w:tr>
      <w:tr>
        <w:trPr/>
        <w:tc>
          <w:tcPr>
            <w:tcW w:w="1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通过准则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部分具备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模板评价准则与输入包测试类型</w:t>
            </w:r>
          </w:p>
        </w:tc>
        <w:tc>
          <w:tcPr>
            <w:tcW w:w="1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可给出功能、接口、页面、数据、部署、异常、安全、性能、回归准则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正式验收阈值缺失</w:t>
            </w:r>
          </w:p>
        </w:tc>
        <w:tc>
          <w:tcPr>
            <w:tcW w:w="1550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采用工程准则；定量阈值以项目验收要求或课程要求为准</w:t>
            </w:r>
          </w:p>
        </w:tc>
      </w:tr>
      <w:tr>
        <w:trPr/>
        <w:tc>
          <w:tcPr>
            <w:tcW w:w="1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待确认项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具备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输入包待人工确认项</w:t>
            </w:r>
          </w:p>
        </w:tc>
        <w:tc>
          <w:tcPr>
            <w:tcW w:w="15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项目边界、正式名称、权限体系、依赖清单、模型服务、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Dify Workflow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、性能指标、安全策略等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需项目负责人或课程要求确认</w:t>
            </w:r>
          </w:p>
        </w:tc>
        <w:tc>
          <w:tcPr>
            <w:tcW w:w="1550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文末集中列出待确认信息清单</w:t>
            </w:r>
          </w:p>
        </w:tc>
      </w:tr>
    </w:tbl>
    <w:p>
      <w:pPr>
        <w:pStyle w:val="Normal"/>
        <w:rPr/>
      </w:pPr>
      <w:r>
        <w:rPr>
          <w:rFonts w:ascii="Microsoft YaHei" w:hAnsi="Microsoft YaHei" w:eastAsia="Microsoft YaHei"/>
          <w:sz w:val="21"/>
        </w:rPr>
      </w:r>
    </w:p>
    <w:p>
      <w:pPr>
        <w:pStyle w:val="Normal"/>
        <w:rPr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sz w:val="21"/>
        </w:rPr>
        <w:br w:type="page"/>
      </w:r>
    </w:p>
    <w:p>
      <w:pPr>
        <w:pStyle w:val="Normal"/>
        <w:spacing w:lineRule="auto" w:line="276" w:before="0" w:after="60"/>
        <w:jc w:val="center"/>
        <w:rPr/>
      </w:pPr>
      <w:r>
        <w:rPr>
          <w:rFonts w:ascii="Microsoft YaHei" w:hAnsi="Microsoft YaHei" w:cs="Times New Roman" w:eastAsia="Microsoft YaHei"/>
          <w:b/>
          <w:sz w:val="32"/>
        </w:rPr>
        <w:t>目  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298"/>
              <w:tab w:val="right" w:pos="9297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1264_3531209514">
            <w:r>
              <w:rPr>
                <w:webHidden/>
                <w:rStyle w:val="IndexLink"/>
              </w:rPr>
              <w:t>文件修改记录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1"/>
            <w:tabs>
              <w:tab w:val="clear" w:pos="9298"/>
              <w:tab w:val="right" w:pos="9297" w:leader="dot"/>
            </w:tabs>
            <w:rPr/>
          </w:pPr>
          <w:hyperlink w:anchor="__RefHeading___Toc11266_3531209514">
            <w:r>
              <w:rPr>
                <w:webHidden/>
                <w:rStyle w:val="IndexLink"/>
              </w:rPr>
              <w:t>测试大纲可写性检查表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1"/>
            <w:tabs>
              <w:tab w:val="clear" w:pos="9298"/>
              <w:tab w:val="right" w:pos="9297" w:leader="dot"/>
            </w:tabs>
            <w:rPr/>
          </w:pPr>
          <w:hyperlink w:anchor="__RefHeading___Toc11268_3531209514">
            <w:r>
              <w:rPr>
                <w:webHidden/>
                <w:rStyle w:val="IndexLink"/>
              </w:rPr>
              <w:t xml:space="preserve">1 </w:t>
            </w:r>
            <w:r>
              <w:rPr>
                <w:rStyle w:val="IndexLink"/>
              </w:rPr>
              <w:t>范围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270_3531209514">
            <w:r>
              <w:rPr>
                <w:webHidden/>
                <w:rStyle w:val="IndexLink"/>
              </w:rPr>
              <w:t xml:space="preserve">1.1 </w:t>
            </w:r>
            <w:r>
              <w:rPr>
                <w:rStyle w:val="IndexLink"/>
              </w:rPr>
              <w:t>标识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272_3531209514">
            <w:r>
              <w:rPr>
                <w:webHidden/>
                <w:rStyle w:val="IndexLink"/>
              </w:rPr>
              <w:t xml:space="preserve">1.2 </w:t>
            </w:r>
            <w:r>
              <w:rPr>
                <w:rStyle w:val="IndexLink"/>
              </w:rPr>
              <w:t>系统概述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274_3531209514">
            <w:r>
              <w:rPr>
                <w:webHidden/>
                <w:rStyle w:val="IndexLink"/>
              </w:rPr>
              <w:t xml:space="preserve">1.3 </w:t>
            </w:r>
            <w:r>
              <w:rPr>
                <w:rStyle w:val="IndexLink"/>
              </w:rPr>
              <w:t>文档概述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276_3531209514">
            <w:r>
              <w:rPr>
                <w:webHidden/>
                <w:rStyle w:val="IndexLink"/>
              </w:rPr>
              <w:t xml:space="preserve">1.4 </w:t>
            </w:r>
            <w:r>
              <w:rPr>
                <w:rStyle w:val="IndexLink"/>
              </w:rPr>
              <w:t>测试范围</w:t>
            </w:r>
            <w:r>
              <w:rPr>
                <w:rStyle w:val="IndexLink"/>
              </w:rPr>
              <w:tab/>
              <w:t>8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278_3531209514">
            <w:r>
              <w:rPr>
                <w:webHidden/>
                <w:rStyle w:val="IndexLink"/>
              </w:rPr>
              <w:t xml:space="preserve">1.5 </w:t>
            </w:r>
            <w:r>
              <w:rPr>
                <w:rStyle w:val="IndexLink"/>
              </w:rPr>
              <w:t>测试对象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280_3531209514">
            <w:r>
              <w:rPr>
                <w:webHidden/>
                <w:rStyle w:val="IndexLink"/>
              </w:rPr>
              <w:t xml:space="preserve">1.6 </w:t>
            </w:r>
            <w:r>
              <w:rPr>
                <w:rStyle w:val="IndexLink"/>
              </w:rPr>
              <w:t>不测试范围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1"/>
            <w:tabs>
              <w:tab w:val="clear" w:pos="9298"/>
              <w:tab w:val="right" w:pos="9297" w:leader="dot"/>
            </w:tabs>
            <w:rPr/>
          </w:pPr>
          <w:hyperlink w:anchor="__RefHeading___Toc11282_3531209514">
            <w:r>
              <w:rPr>
                <w:webHidden/>
                <w:rStyle w:val="IndexLink"/>
              </w:rPr>
              <w:t xml:space="preserve">2 </w:t>
            </w:r>
            <w:r>
              <w:rPr>
                <w:rStyle w:val="IndexLink"/>
              </w:rPr>
              <w:t>引用文档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1"/>
            <w:tabs>
              <w:tab w:val="clear" w:pos="9298"/>
              <w:tab w:val="right" w:pos="9297" w:leader="dot"/>
            </w:tabs>
            <w:rPr/>
          </w:pPr>
          <w:hyperlink w:anchor="__RefHeading___Toc11284_3531209514">
            <w:r>
              <w:rPr>
                <w:webHidden/>
                <w:rStyle w:val="IndexLink"/>
              </w:rPr>
              <w:t xml:space="preserve">3 </w:t>
            </w:r>
            <w:r>
              <w:rPr>
                <w:rStyle w:val="IndexLink"/>
              </w:rPr>
              <w:t>测试项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286_3531209514">
            <w:r>
              <w:rPr>
                <w:webHidden/>
                <w:rStyle w:val="IndexLink"/>
              </w:rPr>
              <w:t xml:space="preserve">3.1 </w:t>
            </w:r>
            <w:r>
              <w:rPr>
                <w:rStyle w:val="IndexLink"/>
              </w:rPr>
              <w:t>测试项总览</w:t>
            </w:r>
            <w:r>
              <w:rPr>
                <w:rStyle w:val="IndexLink"/>
              </w:rPr>
              <w:tab/>
              <w:t>10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288_3531209514">
            <w:r>
              <w:rPr>
                <w:webHidden/>
                <w:rStyle w:val="IndexLink"/>
              </w:rPr>
              <w:t xml:space="preserve">3.2 </w:t>
            </w:r>
            <w:r>
              <w:rPr>
                <w:rStyle w:val="IndexLink"/>
              </w:rPr>
              <w:t>功能测试项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290_3531209514">
            <w:r>
              <w:rPr>
                <w:webHidden/>
                <w:rStyle w:val="IndexLink"/>
              </w:rPr>
              <w:t xml:space="preserve">3.3 </w:t>
            </w:r>
            <w:r>
              <w:rPr>
                <w:rStyle w:val="IndexLink"/>
              </w:rPr>
              <w:t>接口测试项</w:t>
            </w:r>
            <w:r>
              <w:rPr>
                <w:rStyle w:val="IndexLink"/>
              </w:rPr>
              <w:tab/>
              <w:t>12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292_3531209514">
            <w:r>
              <w:rPr>
                <w:webHidden/>
                <w:rStyle w:val="IndexLink"/>
              </w:rPr>
              <w:t xml:space="preserve">3.4 </w:t>
            </w:r>
            <w:r>
              <w:rPr>
                <w:rStyle w:val="IndexLink"/>
              </w:rPr>
              <w:t>界面测试项</w:t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294_3531209514">
            <w:r>
              <w:rPr>
                <w:webHidden/>
                <w:rStyle w:val="IndexLink"/>
              </w:rPr>
              <w:t xml:space="preserve">3.5 </w:t>
            </w:r>
            <w:r>
              <w:rPr>
                <w:rStyle w:val="IndexLink"/>
              </w:rPr>
              <w:t>数据与配置测试项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296_3531209514">
            <w:r>
              <w:rPr>
                <w:webHidden/>
                <w:rStyle w:val="IndexLink"/>
              </w:rPr>
              <w:t xml:space="preserve">3.6 </w:t>
            </w:r>
            <w:r>
              <w:rPr>
                <w:rStyle w:val="IndexLink"/>
              </w:rPr>
              <w:t>安装部署测试项</w:t>
            </w:r>
            <w:r>
              <w:rPr>
                <w:rStyle w:val="IndexLink"/>
              </w:rPr>
              <w:tab/>
              <w:t>14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298_3531209514">
            <w:r>
              <w:rPr>
                <w:webHidden/>
                <w:rStyle w:val="IndexLink"/>
              </w:rPr>
              <w:t xml:space="preserve">3.7 </w:t>
            </w:r>
            <w:r>
              <w:rPr>
                <w:rStyle w:val="IndexLink"/>
              </w:rPr>
              <w:t>异常处理测试项</w:t>
            </w:r>
            <w:r>
              <w:rPr>
                <w:rStyle w:val="IndexLink"/>
              </w:rPr>
              <w:tab/>
              <w:t>15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300_3531209514">
            <w:r>
              <w:rPr>
                <w:webHidden/>
                <w:rStyle w:val="IndexLink"/>
              </w:rPr>
              <w:t xml:space="preserve">3.8 </w:t>
            </w:r>
            <w:r>
              <w:rPr>
                <w:rStyle w:val="IndexLink"/>
              </w:rPr>
              <w:t>日志与可观测性测试项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302_3531209514">
            <w:r>
              <w:rPr>
                <w:webHidden/>
                <w:rStyle w:val="IndexLink"/>
              </w:rPr>
              <w:t xml:space="preserve">3.9 </w:t>
            </w:r>
            <w:r>
              <w:rPr>
                <w:rStyle w:val="IndexLink"/>
              </w:rPr>
              <w:t>安全性测试项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304_3531209514">
            <w:r>
              <w:rPr>
                <w:webHidden/>
                <w:rStyle w:val="IndexLink"/>
              </w:rPr>
              <w:t xml:space="preserve">3.10 </w:t>
            </w:r>
            <w:r>
              <w:rPr>
                <w:rStyle w:val="IndexLink"/>
              </w:rPr>
              <w:t>性能与可靠性测试项</w:t>
            </w:r>
            <w:r>
              <w:rPr>
                <w:rStyle w:val="IndexLink"/>
              </w:rPr>
              <w:tab/>
              <w:t>17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306_3531209514">
            <w:r>
              <w:rPr>
                <w:webHidden/>
                <w:rStyle w:val="IndexLink"/>
              </w:rPr>
              <w:t xml:space="preserve">3.11 </w:t>
            </w:r>
            <w:r>
              <w:rPr>
                <w:rStyle w:val="IndexLink"/>
              </w:rPr>
              <w:t>兼容性测试项</w:t>
            </w:r>
            <w:r>
              <w:rPr>
                <w:rStyle w:val="IndexLink"/>
              </w:rPr>
              <w:tab/>
              <w:t>17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308_3531209514">
            <w:r>
              <w:rPr>
                <w:webHidden/>
                <w:rStyle w:val="IndexLink"/>
              </w:rPr>
              <w:t xml:space="preserve">3.12 </w:t>
            </w:r>
            <w:r>
              <w:rPr>
                <w:rStyle w:val="IndexLink"/>
              </w:rPr>
              <w:t>回归测试项</w:t>
            </w:r>
            <w:r>
              <w:rPr>
                <w:rStyle w:val="IndexLink"/>
              </w:rPr>
              <w:tab/>
              <w:t>18</w:t>
            </w:r>
          </w:hyperlink>
        </w:p>
        <w:p>
          <w:pPr>
            <w:pStyle w:val="TOC1"/>
            <w:tabs>
              <w:tab w:val="clear" w:pos="9298"/>
              <w:tab w:val="right" w:pos="9297" w:leader="dot"/>
            </w:tabs>
            <w:rPr/>
          </w:pPr>
          <w:hyperlink w:anchor="__RefHeading___Toc11310_3531209514">
            <w:r>
              <w:rPr>
                <w:webHidden/>
                <w:rStyle w:val="IndexLink"/>
              </w:rPr>
              <w:t xml:space="preserve">4 </w:t>
            </w:r>
            <w:r>
              <w:rPr>
                <w:rStyle w:val="IndexLink"/>
              </w:rPr>
              <w:t>需测试的特性</w:t>
            </w:r>
            <w:r>
              <w:rPr>
                <w:rStyle w:val="IndexLink"/>
              </w:rPr>
              <w:tab/>
              <w:t>18</w:t>
            </w:r>
          </w:hyperlink>
        </w:p>
        <w:p>
          <w:pPr>
            <w:pStyle w:val="TOC1"/>
            <w:tabs>
              <w:tab w:val="clear" w:pos="9298"/>
              <w:tab w:val="right" w:pos="9297" w:leader="dot"/>
            </w:tabs>
            <w:rPr/>
          </w:pPr>
          <w:hyperlink w:anchor="__RefHeading___Toc11312_3531209514">
            <w:r>
              <w:rPr>
                <w:webHidden/>
                <w:rStyle w:val="IndexLink"/>
              </w:rPr>
              <w:t xml:space="preserve">5 </w:t>
            </w:r>
            <w:r>
              <w:rPr>
                <w:rStyle w:val="IndexLink"/>
              </w:rPr>
              <w:t>不需测试的特性</w:t>
            </w:r>
            <w:r>
              <w:rPr>
                <w:rStyle w:val="IndexLink"/>
              </w:rPr>
              <w:tab/>
              <w:t>19</w:t>
            </w:r>
          </w:hyperlink>
        </w:p>
        <w:p>
          <w:pPr>
            <w:pStyle w:val="TOC1"/>
            <w:tabs>
              <w:tab w:val="clear" w:pos="9298"/>
              <w:tab w:val="right" w:pos="9297" w:leader="dot"/>
            </w:tabs>
            <w:rPr/>
          </w:pPr>
          <w:hyperlink w:anchor="__RefHeading___Toc11314_3531209514">
            <w:r>
              <w:rPr>
                <w:webHidden/>
                <w:rStyle w:val="IndexLink"/>
              </w:rPr>
              <w:t xml:space="preserve">6 </w:t>
            </w:r>
            <w:r>
              <w:rPr>
                <w:rStyle w:val="IndexLink"/>
              </w:rPr>
              <w:t>测试方法</w:t>
            </w:r>
            <w:r>
              <w:rPr>
                <w:rStyle w:val="IndexLink"/>
              </w:rPr>
              <w:tab/>
              <w:t>19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316_3531209514">
            <w:r>
              <w:rPr>
                <w:webHidden/>
                <w:rStyle w:val="IndexLink"/>
              </w:rPr>
              <w:t xml:space="preserve">6.1 </w:t>
            </w:r>
            <w:r>
              <w:rPr>
                <w:rStyle w:val="IndexLink"/>
              </w:rPr>
              <w:t>功能测试方法</w:t>
            </w:r>
            <w:r>
              <w:rPr>
                <w:rStyle w:val="IndexLink"/>
              </w:rPr>
              <w:tab/>
              <w:t>19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318_3531209514">
            <w:r>
              <w:rPr>
                <w:webHidden/>
                <w:rStyle w:val="IndexLink"/>
              </w:rPr>
              <w:t xml:space="preserve">6.2 </w:t>
            </w:r>
            <w:r>
              <w:rPr>
                <w:rStyle w:val="IndexLink"/>
              </w:rPr>
              <w:t>接口测试方法</w:t>
            </w:r>
            <w:r>
              <w:rPr>
                <w:rStyle w:val="IndexLink"/>
              </w:rPr>
              <w:tab/>
              <w:t>20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320_3531209514">
            <w:r>
              <w:rPr>
                <w:webHidden/>
                <w:rStyle w:val="IndexLink"/>
              </w:rPr>
              <w:t xml:space="preserve">6.3 </w:t>
            </w:r>
            <w:r>
              <w:rPr>
                <w:rStyle w:val="IndexLink"/>
              </w:rPr>
              <w:t>界面测试方法</w:t>
            </w:r>
            <w:r>
              <w:rPr>
                <w:rStyle w:val="IndexLink"/>
              </w:rPr>
              <w:tab/>
              <w:t>20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322_3531209514">
            <w:r>
              <w:rPr>
                <w:webHidden/>
                <w:rStyle w:val="IndexLink"/>
              </w:rPr>
              <w:t xml:space="preserve">6.4 </w:t>
            </w:r>
            <w:r>
              <w:rPr>
                <w:rStyle w:val="IndexLink"/>
              </w:rPr>
              <w:t>配置测试方法</w:t>
            </w:r>
            <w:r>
              <w:rPr>
                <w:rStyle w:val="IndexLink"/>
              </w:rPr>
              <w:tab/>
              <w:t>20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324_3531209514">
            <w:r>
              <w:rPr>
                <w:webHidden/>
                <w:rStyle w:val="IndexLink"/>
              </w:rPr>
              <w:t xml:space="preserve">6.5 </w:t>
            </w:r>
            <w:r>
              <w:rPr>
                <w:rStyle w:val="IndexLink"/>
              </w:rPr>
              <w:t>安装部署测试方法</w:t>
            </w:r>
            <w:r>
              <w:rPr>
                <w:rStyle w:val="IndexLink"/>
              </w:rPr>
              <w:tab/>
              <w:t>20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326_3531209514">
            <w:r>
              <w:rPr>
                <w:webHidden/>
                <w:rStyle w:val="IndexLink"/>
              </w:rPr>
              <w:t xml:space="preserve">6.6 </w:t>
            </w:r>
            <w:r>
              <w:rPr>
                <w:rStyle w:val="IndexLink"/>
              </w:rPr>
              <w:t>异常测试方法</w:t>
            </w:r>
            <w:r>
              <w:rPr>
                <w:rStyle w:val="IndexLink"/>
              </w:rPr>
              <w:tab/>
              <w:t>20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328_3531209514">
            <w:r>
              <w:rPr>
                <w:webHidden/>
                <w:rStyle w:val="IndexLink"/>
              </w:rPr>
              <w:t xml:space="preserve">6.7 </w:t>
            </w:r>
            <w:r>
              <w:rPr>
                <w:rStyle w:val="IndexLink"/>
              </w:rPr>
              <w:t>安全性测试方法</w:t>
            </w:r>
            <w:r>
              <w:rPr>
                <w:rStyle w:val="IndexLink"/>
              </w:rPr>
              <w:tab/>
              <w:t>20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330_3531209514">
            <w:r>
              <w:rPr>
                <w:webHidden/>
                <w:rStyle w:val="IndexLink"/>
              </w:rPr>
              <w:t xml:space="preserve">6.8 </w:t>
            </w:r>
            <w:r>
              <w:rPr>
                <w:rStyle w:val="IndexLink"/>
              </w:rPr>
              <w:t>性能测试方法</w:t>
            </w:r>
            <w:r>
              <w:rPr>
                <w:rStyle w:val="IndexLink"/>
              </w:rPr>
              <w:tab/>
              <w:t>20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332_3531209514">
            <w:r>
              <w:rPr>
                <w:webHidden/>
                <w:rStyle w:val="IndexLink"/>
              </w:rPr>
              <w:t xml:space="preserve">6.9 </w:t>
            </w:r>
            <w:r>
              <w:rPr>
                <w:rStyle w:val="IndexLink"/>
              </w:rPr>
              <w:t>回归测试方法</w:t>
            </w:r>
            <w:r>
              <w:rPr>
                <w:rStyle w:val="IndexLink"/>
              </w:rPr>
              <w:tab/>
              <w:t>21</w:t>
            </w:r>
          </w:hyperlink>
        </w:p>
        <w:p>
          <w:pPr>
            <w:pStyle w:val="TOC1"/>
            <w:tabs>
              <w:tab w:val="clear" w:pos="9298"/>
              <w:tab w:val="right" w:pos="9297" w:leader="dot"/>
            </w:tabs>
            <w:rPr/>
          </w:pPr>
          <w:hyperlink w:anchor="__RefHeading___Toc11334_3531209514">
            <w:r>
              <w:rPr>
                <w:webHidden/>
                <w:rStyle w:val="IndexLink"/>
              </w:rPr>
              <w:t xml:space="preserve">7 </w:t>
            </w:r>
            <w:r>
              <w:rPr>
                <w:rStyle w:val="IndexLink"/>
              </w:rPr>
              <w:t>测试环境</w:t>
            </w:r>
            <w:r>
              <w:rPr>
                <w:rStyle w:val="IndexLink"/>
              </w:rPr>
              <w:tab/>
              <w:t>21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336_3531209514">
            <w:r>
              <w:rPr>
                <w:webHidden/>
                <w:rStyle w:val="IndexLink"/>
              </w:rPr>
              <w:t xml:space="preserve">7.1 </w:t>
            </w:r>
            <w:r>
              <w:rPr>
                <w:rStyle w:val="IndexLink"/>
              </w:rPr>
              <w:t>硬件环境</w:t>
            </w:r>
            <w:r>
              <w:rPr>
                <w:rStyle w:val="IndexLink"/>
              </w:rPr>
              <w:tab/>
              <w:t>21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338_3531209514">
            <w:r>
              <w:rPr>
                <w:webHidden/>
                <w:rStyle w:val="IndexLink"/>
              </w:rPr>
              <w:t xml:space="preserve">7.2 </w:t>
            </w:r>
            <w:r>
              <w:rPr>
                <w:rStyle w:val="IndexLink"/>
              </w:rPr>
              <w:t>软件环境</w:t>
            </w:r>
            <w:r>
              <w:rPr>
                <w:rStyle w:val="IndexLink"/>
              </w:rPr>
              <w:tab/>
              <w:t>21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340_3531209514">
            <w:r>
              <w:rPr>
                <w:webHidden/>
                <w:rStyle w:val="IndexLink"/>
              </w:rPr>
              <w:t xml:space="preserve">7.3 </w:t>
            </w:r>
            <w:r>
              <w:rPr>
                <w:rStyle w:val="IndexLink"/>
              </w:rPr>
              <w:t>网络环境</w:t>
            </w:r>
            <w:r>
              <w:rPr>
                <w:rStyle w:val="IndexLink"/>
              </w:rPr>
              <w:tab/>
              <w:t>21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342_3531209514">
            <w:r>
              <w:rPr>
                <w:webHidden/>
                <w:rStyle w:val="IndexLink"/>
              </w:rPr>
              <w:t xml:space="preserve">7.4 </w:t>
            </w:r>
            <w:r>
              <w:rPr>
                <w:rStyle w:val="IndexLink"/>
              </w:rPr>
              <w:t>数据环境</w:t>
            </w:r>
            <w:r>
              <w:rPr>
                <w:rStyle w:val="IndexLink"/>
              </w:rPr>
              <w:tab/>
              <w:t>22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344_3531209514">
            <w:r>
              <w:rPr>
                <w:webHidden/>
                <w:rStyle w:val="IndexLink"/>
              </w:rPr>
              <w:t xml:space="preserve">7.5 </w:t>
            </w:r>
            <w:r>
              <w:rPr>
                <w:rStyle w:val="IndexLink"/>
              </w:rPr>
              <w:t>部署环境</w:t>
            </w:r>
            <w:r>
              <w:rPr>
                <w:rStyle w:val="IndexLink"/>
              </w:rPr>
              <w:tab/>
              <w:t>22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346_3531209514">
            <w:r>
              <w:rPr>
                <w:webHidden/>
                <w:rStyle w:val="IndexLink"/>
              </w:rPr>
              <w:t xml:space="preserve">7.6 </w:t>
            </w:r>
            <w:r>
              <w:rPr>
                <w:rStyle w:val="IndexLink"/>
              </w:rPr>
              <w:t>测试工具</w:t>
            </w:r>
            <w:r>
              <w:rPr>
                <w:rStyle w:val="IndexLink"/>
              </w:rPr>
              <w:tab/>
              <w:t>22</w:t>
            </w:r>
          </w:hyperlink>
        </w:p>
        <w:p>
          <w:pPr>
            <w:pStyle w:val="TOC1"/>
            <w:tabs>
              <w:tab w:val="clear" w:pos="9298"/>
              <w:tab w:val="right" w:pos="9297" w:leader="dot"/>
            </w:tabs>
            <w:rPr/>
          </w:pPr>
          <w:hyperlink w:anchor="__RefHeading___Toc11348_3531209514">
            <w:r>
              <w:rPr>
                <w:webHidden/>
                <w:rStyle w:val="IndexLink"/>
              </w:rPr>
              <w:t xml:space="preserve">8 </w:t>
            </w:r>
            <w:r>
              <w:rPr>
                <w:rStyle w:val="IndexLink"/>
              </w:rPr>
              <w:t>测试通过准则</w:t>
            </w:r>
            <w:r>
              <w:rPr>
                <w:rStyle w:val="IndexLink"/>
              </w:rPr>
              <w:tab/>
              <w:t>22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350_3531209514">
            <w:r>
              <w:rPr>
                <w:webHidden/>
                <w:rStyle w:val="IndexLink"/>
              </w:rPr>
              <w:t xml:space="preserve">8.1 </w:t>
            </w:r>
            <w:r>
              <w:rPr>
                <w:rStyle w:val="IndexLink"/>
              </w:rPr>
              <w:t>功能通过准则</w:t>
            </w:r>
            <w:r>
              <w:rPr>
                <w:rStyle w:val="IndexLink"/>
              </w:rPr>
              <w:tab/>
              <w:t>22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352_3531209514">
            <w:r>
              <w:rPr>
                <w:webHidden/>
                <w:rStyle w:val="IndexLink"/>
              </w:rPr>
              <w:t xml:space="preserve">8.2 </w:t>
            </w:r>
            <w:r>
              <w:rPr>
                <w:rStyle w:val="IndexLink"/>
              </w:rPr>
              <w:t>接口通过准则</w:t>
            </w:r>
            <w:r>
              <w:rPr>
                <w:rStyle w:val="IndexLink"/>
              </w:rPr>
              <w:tab/>
              <w:t>22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354_3531209514">
            <w:r>
              <w:rPr>
                <w:webHidden/>
                <w:rStyle w:val="IndexLink"/>
              </w:rPr>
              <w:t xml:space="preserve">8.3 </w:t>
            </w:r>
            <w:r>
              <w:rPr>
                <w:rStyle w:val="IndexLink"/>
              </w:rPr>
              <w:t>界面通过准则</w:t>
            </w:r>
            <w:r>
              <w:rPr>
                <w:rStyle w:val="IndexLink"/>
              </w:rPr>
              <w:tab/>
              <w:t>23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356_3531209514">
            <w:r>
              <w:rPr>
                <w:webHidden/>
                <w:rStyle w:val="IndexLink"/>
              </w:rPr>
              <w:t xml:space="preserve">8.4 </w:t>
            </w:r>
            <w:r>
              <w:rPr>
                <w:rStyle w:val="IndexLink"/>
              </w:rPr>
              <w:t>数据通过准则</w:t>
            </w:r>
            <w:r>
              <w:rPr>
                <w:rStyle w:val="IndexLink"/>
              </w:rPr>
              <w:tab/>
              <w:t>23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358_3531209514">
            <w:r>
              <w:rPr>
                <w:webHidden/>
                <w:rStyle w:val="IndexLink"/>
              </w:rPr>
              <w:t xml:space="preserve">8.5 </w:t>
            </w:r>
            <w:r>
              <w:rPr>
                <w:rStyle w:val="IndexLink"/>
              </w:rPr>
              <w:t>部署通过准则</w:t>
            </w:r>
            <w:r>
              <w:rPr>
                <w:rStyle w:val="IndexLink"/>
              </w:rPr>
              <w:tab/>
              <w:t>23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360_3531209514">
            <w:r>
              <w:rPr>
                <w:webHidden/>
                <w:rStyle w:val="IndexLink"/>
              </w:rPr>
              <w:t xml:space="preserve">8.6 </w:t>
            </w:r>
            <w:r>
              <w:rPr>
                <w:rStyle w:val="IndexLink"/>
              </w:rPr>
              <w:t>异常处理通过准则</w:t>
            </w:r>
            <w:r>
              <w:rPr>
                <w:rStyle w:val="IndexLink"/>
              </w:rPr>
              <w:tab/>
              <w:t>23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362_3531209514">
            <w:r>
              <w:rPr>
                <w:webHidden/>
                <w:rStyle w:val="IndexLink"/>
              </w:rPr>
              <w:t xml:space="preserve">8.7 </w:t>
            </w:r>
            <w:r>
              <w:rPr>
                <w:rStyle w:val="IndexLink"/>
              </w:rPr>
              <w:t>安全性通过准则</w:t>
            </w:r>
            <w:r>
              <w:rPr>
                <w:rStyle w:val="IndexLink"/>
              </w:rPr>
              <w:tab/>
              <w:t>23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364_3531209514">
            <w:r>
              <w:rPr>
                <w:webHidden/>
                <w:rStyle w:val="IndexLink"/>
              </w:rPr>
              <w:t xml:space="preserve">8.8 </w:t>
            </w:r>
            <w:r>
              <w:rPr>
                <w:rStyle w:val="IndexLink"/>
              </w:rPr>
              <w:t>性能通过准则</w:t>
            </w:r>
            <w:r>
              <w:rPr>
                <w:rStyle w:val="IndexLink"/>
              </w:rPr>
              <w:tab/>
              <w:t>23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366_3531209514">
            <w:r>
              <w:rPr>
                <w:webHidden/>
                <w:rStyle w:val="IndexLink"/>
              </w:rPr>
              <w:t xml:space="preserve">8.9 </w:t>
            </w:r>
            <w:r>
              <w:rPr>
                <w:rStyle w:val="IndexLink"/>
              </w:rPr>
              <w:t>回归通过准则</w:t>
            </w:r>
            <w:r>
              <w:rPr>
                <w:rStyle w:val="IndexLink"/>
              </w:rPr>
              <w:tab/>
              <w:t>23</w:t>
            </w:r>
          </w:hyperlink>
        </w:p>
        <w:p>
          <w:pPr>
            <w:pStyle w:val="TOC1"/>
            <w:tabs>
              <w:tab w:val="clear" w:pos="9298"/>
              <w:tab w:val="right" w:pos="9297" w:leader="dot"/>
            </w:tabs>
            <w:rPr/>
          </w:pPr>
          <w:hyperlink w:anchor="__RefHeading___Toc11368_3531209514">
            <w:r>
              <w:rPr>
                <w:webHidden/>
                <w:rStyle w:val="IndexLink"/>
              </w:rPr>
              <w:t xml:space="preserve">9 </w:t>
            </w:r>
            <w:r>
              <w:rPr>
                <w:rStyle w:val="IndexLink"/>
              </w:rPr>
              <w:t>测试暂停与恢复准则</w:t>
            </w:r>
            <w:r>
              <w:rPr>
                <w:rStyle w:val="IndexLink"/>
              </w:rPr>
              <w:tab/>
              <w:t>23</w:t>
            </w:r>
          </w:hyperlink>
        </w:p>
        <w:p>
          <w:pPr>
            <w:pStyle w:val="TOC1"/>
            <w:tabs>
              <w:tab w:val="clear" w:pos="9298"/>
              <w:tab w:val="right" w:pos="9297" w:leader="dot"/>
            </w:tabs>
            <w:rPr/>
          </w:pPr>
          <w:hyperlink w:anchor="__RefHeading___Toc11370_3531209514">
            <w:r>
              <w:rPr>
                <w:webHidden/>
                <w:rStyle w:val="IndexLink"/>
              </w:rPr>
              <w:t xml:space="preserve">10 </w:t>
            </w:r>
            <w:r>
              <w:rPr>
                <w:rStyle w:val="IndexLink"/>
              </w:rPr>
              <w:t>测试交付物</w:t>
            </w:r>
            <w:r>
              <w:rPr>
                <w:rStyle w:val="IndexLink"/>
              </w:rPr>
              <w:tab/>
              <w:t>24</w:t>
            </w:r>
          </w:hyperlink>
        </w:p>
        <w:p>
          <w:pPr>
            <w:pStyle w:val="TOC1"/>
            <w:tabs>
              <w:tab w:val="clear" w:pos="9298"/>
              <w:tab w:val="right" w:pos="9297" w:leader="dot"/>
            </w:tabs>
            <w:rPr/>
          </w:pPr>
          <w:hyperlink w:anchor="__RefHeading___Toc11372_3531209514">
            <w:r>
              <w:rPr>
                <w:webHidden/>
                <w:rStyle w:val="IndexLink"/>
              </w:rPr>
              <w:t xml:space="preserve">11 </w:t>
            </w:r>
            <w:r>
              <w:rPr>
                <w:rStyle w:val="IndexLink"/>
              </w:rPr>
              <w:t>需求</w:t>
            </w:r>
            <w:r>
              <w:rPr>
                <w:rStyle w:val="IndexLink"/>
              </w:rPr>
              <w:t>/</w:t>
            </w:r>
            <w:r>
              <w:rPr>
                <w:rStyle w:val="IndexLink"/>
              </w:rPr>
              <w:t>功能追踪关系</w:t>
            </w:r>
            <w:r>
              <w:rPr>
                <w:rStyle w:val="IndexLink"/>
              </w:rPr>
              <w:tab/>
              <w:t>24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374_3531209514">
            <w:r>
              <w:rPr>
                <w:webHidden/>
                <w:rStyle w:val="IndexLink"/>
              </w:rPr>
              <w:t xml:space="preserve">11.1 </w:t>
            </w:r>
            <w:r>
              <w:rPr>
                <w:rStyle w:val="IndexLink"/>
              </w:rPr>
              <w:t>正向追踪表</w:t>
            </w:r>
            <w:r>
              <w:rPr>
                <w:rStyle w:val="IndexLink"/>
              </w:rPr>
              <w:tab/>
              <w:t>24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376_3531209514">
            <w:r>
              <w:rPr>
                <w:webHidden/>
                <w:rStyle w:val="IndexLink"/>
              </w:rPr>
              <w:t xml:space="preserve">11.2 </w:t>
            </w:r>
            <w:r>
              <w:rPr>
                <w:rStyle w:val="IndexLink"/>
              </w:rPr>
              <w:t>逆向追踪表</w:t>
            </w:r>
            <w:r>
              <w:rPr>
                <w:rStyle w:val="IndexLink"/>
              </w:rPr>
              <w:tab/>
              <w:t>25</w:t>
            </w:r>
          </w:hyperlink>
        </w:p>
        <w:p>
          <w:pPr>
            <w:pStyle w:val="TOC1"/>
            <w:tabs>
              <w:tab w:val="clear" w:pos="9298"/>
              <w:tab w:val="right" w:pos="9297" w:leader="dot"/>
            </w:tabs>
            <w:rPr/>
          </w:pPr>
          <w:hyperlink w:anchor="__RefHeading___Toc11378_3531209514">
            <w:r>
              <w:rPr>
                <w:webHidden/>
                <w:rStyle w:val="IndexLink"/>
              </w:rPr>
              <w:t xml:space="preserve">12 </w:t>
            </w:r>
            <w:r>
              <w:rPr>
                <w:rStyle w:val="IndexLink"/>
              </w:rPr>
              <w:t>风险与约束</w:t>
            </w:r>
            <w:r>
              <w:rPr>
                <w:rStyle w:val="IndexLink"/>
              </w:rPr>
              <w:tab/>
              <w:t>26</w:t>
            </w:r>
          </w:hyperlink>
        </w:p>
        <w:p>
          <w:pPr>
            <w:pStyle w:val="TOC1"/>
            <w:tabs>
              <w:tab w:val="clear" w:pos="9298"/>
              <w:tab w:val="right" w:pos="9297" w:leader="dot"/>
            </w:tabs>
            <w:rPr/>
          </w:pPr>
          <w:hyperlink w:anchor="__RefHeading___Toc11380_3531209514">
            <w:r>
              <w:rPr>
                <w:webHidden/>
                <w:rStyle w:val="IndexLink"/>
              </w:rPr>
              <w:t xml:space="preserve">13 </w:t>
            </w:r>
            <w:r>
              <w:rPr>
                <w:rStyle w:val="IndexLink"/>
              </w:rPr>
              <w:t>注释</w:t>
            </w:r>
            <w:r>
              <w:rPr>
                <w:rStyle w:val="IndexLink"/>
              </w:rPr>
              <w:tab/>
              <w:t>27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382_3531209514">
            <w:r>
              <w:rPr>
                <w:webHidden/>
                <w:rStyle w:val="IndexLink"/>
              </w:rPr>
              <w:t xml:space="preserve">13.1 </w:t>
            </w:r>
            <w:r>
              <w:rPr>
                <w:rStyle w:val="IndexLink"/>
              </w:rPr>
              <w:t>术语说明</w:t>
            </w:r>
            <w:r>
              <w:rPr>
                <w:rStyle w:val="IndexLink"/>
              </w:rPr>
              <w:tab/>
              <w:t>27</w:t>
            </w:r>
          </w:hyperlink>
        </w:p>
        <w:p>
          <w:pPr>
            <w:pStyle w:val="TOC2"/>
            <w:tabs>
              <w:tab w:val="clear" w:pos="9015"/>
              <w:tab w:val="right" w:pos="9297" w:leader="dot"/>
            </w:tabs>
            <w:rPr/>
          </w:pPr>
          <w:hyperlink w:anchor="__RefHeading___Toc11384_3531209514">
            <w:r>
              <w:rPr>
                <w:webHidden/>
                <w:rStyle w:val="IndexLink"/>
              </w:rPr>
              <w:t xml:space="preserve">13.2 </w:t>
            </w:r>
            <w:r>
              <w:rPr>
                <w:rStyle w:val="IndexLink"/>
              </w:rPr>
              <w:t>待确认信息清单</w:t>
            </w:r>
            <w:r>
              <w:rPr>
                <w:rStyle w:val="IndexLink"/>
              </w:rPr>
              <w:tab/>
              <w:t>27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sectPr>
          <w:footerReference w:type="even" r:id="rId2"/>
          <w:footerReference w:type="default" r:id="rId3"/>
          <w:footerReference w:type="first" r:id="rId4"/>
          <w:headerReference w:type="default" r:id="rId12"/>
          <w:headerReference w:type="first" r:id="rId13"/>
          <w:headerReference w:type="even" r:id="rId14"/>
          <w:type w:val="nextPage"/>
          <w:pgSz w:w="11906" w:h="16838"/>
          <w:pgMar w:left="1361" w:right="1247" w:gutter="0" w:header="0" w:top="1417" w:footer="720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widowControl/>
        <w:bidi w:val="0"/>
        <w:spacing w:lineRule="auto" w:line="276" w:before="0" w:after="200"/>
        <w:jc w:val="left"/>
        <w:rPr>
          <w:rFonts w:ascii="Times New Roman" w:hAnsi="Times New Roman" w:eastAsia="SimSun"/>
          <w:sz w:val="21"/>
        </w:rPr>
      </w:pPr>
      <w:r>
        <w:rPr>
          <w:rFonts w:eastAsia="Microsoft YaHei" w:ascii="Microsoft YaHei" w:hAnsi="Microsoft YaHei"/>
          <w:sz w:val="21"/>
        </w:rPr>
      </w:r>
      <w:r>
        <w:rPr>
          <w:rFonts w:ascii="Microsoft YaHei" w:hAnsi="Microsoft YaHei" w:eastAsia="Microsoft YaHei"/>
          <w:sz w:val="21"/>
        </w:rPr>
        <w:br w:type="page"/>
      </w:r>
    </w:p>
    <w:p>
      <w:pPr>
        <w:pStyle w:val="Heading1"/>
        <w:spacing w:before="160" w:after="100"/>
        <w:rPr/>
      </w:pPr>
      <w:bookmarkStart w:id="2" w:name="__RefHeading___Toc11268_3531209514"/>
      <w:bookmarkEnd w:id="2"/>
      <w:r>
        <w:rPr>
          <w:rFonts w:eastAsia="Microsoft YaHei" w:cs="Times New Roman" w:ascii="Microsoft YaHei" w:hAnsi="Microsoft YaHei"/>
          <w:b/>
          <w:sz w:val="32"/>
        </w:rPr>
        <w:t xml:space="preserve">1 </w:t>
      </w:r>
      <w:r>
        <w:rPr>
          <w:rFonts w:ascii="Microsoft YaHei" w:hAnsi="Microsoft YaHei" w:cs="Times New Roman" w:eastAsia="Microsoft YaHei"/>
          <w:b/>
          <w:sz w:val="32"/>
        </w:rPr>
        <w:t>范围</w:t>
      </w:r>
    </w:p>
    <w:p>
      <w:pPr>
        <w:pStyle w:val="Heading2"/>
        <w:spacing w:before="80" w:after="100"/>
        <w:rPr/>
      </w:pPr>
      <w:bookmarkStart w:id="3" w:name="__RefHeading___Toc11270_3531209514"/>
      <w:bookmarkEnd w:id="3"/>
      <w:r>
        <w:rPr>
          <w:rFonts w:eastAsia="Microsoft YaHei" w:cs="Times New Roman" w:ascii="Microsoft YaHei" w:hAnsi="Microsoft YaHei"/>
          <w:b/>
          <w:sz w:val="28"/>
        </w:rPr>
        <w:t xml:space="preserve">1.1 </w:t>
      </w:r>
      <w:r>
        <w:rPr>
          <w:rFonts w:ascii="Microsoft YaHei" w:hAnsi="Microsoft YaHei" w:cs="Times New Roman" w:eastAsia="Microsoft YaHei"/>
          <w:b/>
          <w:sz w:val="28"/>
        </w:rPr>
        <w:t>标识</w:t>
      </w:r>
    </w:p>
    <w:p>
      <w:pPr>
        <w:spacing w:lineRule="auto" w:line="276" w:before="0" w:after="60"/>
        <w:ind w:firstLine="420"/>
        <w:rPr/>
      </w:pPr>
      <w:r>
        <w:rPr>
          <w:rFonts w:ascii="Microsoft YaHei" w:hAnsi="Microsoft YaHei" w:eastAsia="Microsoft YaHei"/>
          <w:sz w:val="21"/>
        </w:rPr>
        <w:t>本文档的正式标题为《SuperRAG 企业私有知识驱动的软件工程辅助系统软件测试大纲》。本文档适用于企业私有知识驱动的软件工程辅助系统 / SuperRAG 当前课程演示版本。</w:t>
      </w:r>
    </w:p>
    <w:p>
      <w:pPr>
        <w:spacing w:lineRule="auto" w:line="276" w:before="0" w:after="60"/>
        <w:ind w:firstLine="420"/>
        <w:rPr/>
      </w:pPr>
      <w:r>
        <w:rPr>
          <w:rFonts w:ascii="Microsoft YaHei" w:hAnsi="Microsoft YaHei" w:eastAsia="Microsoft YaHei"/>
          <w:sz w:val="21"/>
        </w:rPr>
        <w:t>本文档标识号：SRAG-TST-OUTLINE-20260603-V1.0。本文档版本号：V1.0。</w:t>
      </w:r>
    </w:p>
    <w:p>
      <w:pPr>
        <w:pStyle w:val="Normal"/>
        <w:spacing w:lineRule="auto" w:line="276" w:before="0" w:after="60"/>
        <w:ind w:firstLine="420"/>
        <w:rPr/>
      </w:pPr>
      <w:r>
        <w:rPr>
          <w:rFonts w:ascii="Microsoft YaHei" w:hAnsi="Microsoft YaHei" w:cs="Times New Roman" w:eastAsia="Microsoft YaHei"/>
          <w:b w:val="false"/>
          <w:sz w:val="21"/>
        </w:rPr>
        <w:t>本文档涉及的主要术语如下：</w:t>
      </w:r>
      <w:r>
        <w:rPr>
          <w:rFonts w:eastAsia="Microsoft YaHei" w:cs="Times New Roman" w:ascii="Microsoft YaHei" w:hAnsi="Microsoft YaHei"/>
          <w:b w:val="false"/>
          <w:sz w:val="21"/>
        </w:rPr>
        <w:t xml:space="preserve">SuperRAG </w:t>
      </w:r>
      <w:r>
        <w:rPr>
          <w:rFonts w:ascii="Microsoft YaHei" w:hAnsi="Microsoft YaHei" w:cs="Times New Roman" w:eastAsia="Microsoft YaHei"/>
          <w:b w:val="false"/>
          <w:sz w:val="21"/>
        </w:rPr>
        <w:t>指当前本地部署企业知识库问答系统；</w:t>
      </w:r>
      <w:r>
        <w:rPr>
          <w:rFonts w:eastAsia="Microsoft YaHei" w:cs="Times New Roman" w:ascii="Microsoft YaHei" w:hAnsi="Microsoft YaHei"/>
          <w:b w:val="false"/>
          <w:sz w:val="21"/>
        </w:rPr>
        <w:t xml:space="preserve">dify-lite </w:t>
      </w:r>
      <w:r>
        <w:rPr>
          <w:rFonts w:ascii="Microsoft YaHei" w:hAnsi="Microsoft YaHei" w:cs="Times New Roman" w:eastAsia="Microsoft YaHei"/>
          <w:b w:val="false"/>
          <w:sz w:val="21"/>
        </w:rPr>
        <w:t xml:space="preserve">指当前服务第一版前端主链路的 </w:t>
      </w:r>
      <w:r>
        <w:rPr>
          <w:rFonts w:eastAsia="Microsoft YaHei" w:cs="Times New Roman" w:ascii="Microsoft YaHei" w:hAnsi="Microsoft YaHei"/>
          <w:b w:val="false"/>
          <w:sz w:val="21"/>
        </w:rPr>
        <w:t xml:space="preserve">Flask </w:t>
      </w:r>
      <w:r>
        <w:rPr>
          <w:rFonts w:ascii="Microsoft YaHei" w:hAnsi="Microsoft YaHei" w:cs="Times New Roman" w:eastAsia="Microsoft YaHei"/>
          <w:b w:val="false"/>
          <w:sz w:val="21"/>
        </w:rPr>
        <w:t>轻量后端；</w:t>
      </w:r>
      <w:r>
        <w:rPr>
          <w:rFonts w:eastAsia="Microsoft YaHei" w:cs="Times New Roman" w:ascii="Microsoft YaHei" w:hAnsi="Microsoft YaHei"/>
          <w:b w:val="false"/>
          <w:sz w:val="21"/>
        </w:rPr>
        <w:t xml:space="preserve">RAG </w:t>
      </w:r>
      <w:r>
        <w:rPr>
          <w:rFonts w:ascii="Microsoft YaHei" w:hAnsi="Microsoft YaHei" w:cs="Times New Roman" w:eastAsia="Microsoft YaHei"/>
          <w:b w:val="false"/>
          <w:sz w:val="21"/>
        </w:rPr>
        <w:t>指检索增强生成；</w:t>
      </w:r>
      <w:r>
        <w:rPr>
          <w:rFonts w:eastAsia="Microsoft YaHei" w:cs="Times New Roman" w:ascii="Microsoft YaHei" w:hAnsi="Microsoft YaHei"/>
          <w:b w:val="false"/>
          <w:sz w:val="21"/>
        </w:rPr>
        <w:t xml:space="preserve">Citation </w:t>
      </w:r>
      <w:r>
        <w:rPr>
          <w:rFonts w:ascii="Microsoft YaHei" w:hAnsi="Microsoft YaHei" w:cs="Times New Roman" w:eastAsia="Microsoft YaHei"/>
          <w:b w:val="false"/>
          <w:sz w:val="21"/>
        </w:rPr>
        <w:t>指回答中返回的引用证据；</w:t>
      </w:r>
      <w:r>
        <w:rPr>
          <w:rFonts w:eastAsia="Microsoft YaHei" w:cs="Times New Roman" w:ascii="Microsoft YaHei" w:hAnsi="Microsoft YaHei"/>
          <w:b w:val="false"/>
          <w:sz w:val="21"/>
        </w:rPr>
        <w:t xml:space="preserve">Mermaid </w:t>
      </w:r>
      <w:r>
        <w:rPr>
          <w:rFonts w:ascii="Microsoft YaHei" w:hAnsi="Microsoft YaHei" w:cs="Times New Roman" w:eastAsia="Microsoft YaHei"/>
          <w:b w:val="false"/>
          <w:sz w:val="21"/>
        </w:rPr>
        <w:t>指文本图示语言。</w:t>
      </w:r>
    </w:p>
    <w:p>
      <w:pPr>
        <w:pStyle w:val="Heading2"/>
        <w:spacing w:before="80" w:after="100"/>
        <w:rPr/>
      </w:pPr>
      <w:bookmarkStart w:id="4" w:name="__RefHeading___Toc11272_3531209514"/>
      <w:bookmarkEnd w:id="4"/>
      <w:r>
        <w:rPr>
          <w:rFonts w:eastAsia="Microsoft YaHei" w:cs="Times New Roman" w:ascii="Microsoft YaHei" w:hAnsi="Microsoft YaHei"/>
          <w:b/>
          <w:sz w:val="28"/>
        </w:rPr>
        <w:t xml:space="preserve">1.2 </w:t>
      </w:r>
      <w:r>
        <w:rPr>
          <w:rFonts w:ascii="Microsoft YaHei" w:hAnsi="Microsoft YaHei" w:cs="Times New Roman" w:eastAsia="Microsoft YaHei"/>
          <w:b/>
          <w:sz w:val="28"/>
        </w:rPr>
        <w:t>系统概述</w:t>
      </w:r>
    </w:p>
    <w:p>
      <w:pPr>
        <w:pStyle w:val="Normal"/>
        <w:spacing w:lineRule="auto" w:line="276" w:before="0" w:after="60"/>
        <w:ind w:firstLine="420"/>
        <w:rPr/>
      </w:pPr>
      <w:r>
        <w:rPr>
          <w:rFonts w:eastAsia="Microsoft YaHei" w:cs="Times New Roman" w:ascii="Microsoft YaHei" w:hAnsi="Microsoft YaHei"/>
          <w:b w:val="false"/>
          <w:sz w:val="21"/>
        </w:rPr>
        <w:t xml:space="preserve">SuperRAG </w:t>
      </w:r>
      <w:r>
        <w:rPr>
          <w:rFonts w:ascii="Microsoft YaHei" w:hAnsi="Microsoft YaHei" w:cs="Times New Roman" w:eastAsia="Microsoft YaHei"/>
          <w:b w:val="false"/>
          <w:sz w:val="21"/>
        </w:rPr>
        <w:t xml:space="preserve">是面向本地部署场景的企业知识库问答与场景化输出系统。当前版本采用“第一版前端 </w:t>
      </w:r>
      <w:r>
        <w:rPr>
          <w:rFonts w:eastAsia="Microsoft YaHei" w:cs="Times New Roman" w:ascii="Microsoft YaHei" w:hAnsi="Microsoft YaHei"/>
          <w:b w:val="false"/>
          <w:sz w:val="21"/>
        </w:rPr>
        <w:t xml:space="preserve">+ dify-lite </w:t>
      </w:r>
      <w:r>
        <w:rPr>
          <w:rFonts w:ascii="Microsoft YaHei" w:hAnsi="Microsoft YaHei" w:cs="Times New Roman" w:eastAsia="Microsoft YaHei"/>
          <w:b w:val="false"/>
          <w:sz w:val="21"/>
        </w:rPr>
        <w:t xml:space="preserve">后端”的轻量联调形态：浏览器访问 </w:t>
      </w:r>
      <w:r>
        <w:rPr>
          <w:rFonts w:eastAsia="Microsoft YaHei" w:cs="Times New Roman" w:ascii="Microsoft YaHei" w:hAnsi="Microsoft YaHei"/>
          <w:b w:val="false"/>
          <w:sz w:val="21"/>
        </w:rPr>
        <w:t>http://127.0.0.1:8088/</w:t>
      </w:r>
      <w:r>
        <w:rPr>
          <w:rFonts w:ascii="Microsoft YaHei" w:hAnsi="Microsoft YaHei" w:cs="Times New Roman" w:eastAsia="Microsoft YaHei"/>
          <w:b w:val="false"/>
          <w:sz w:val="21"/>
        </w:rPr>
        <w:t xml:space="preserve">，由 </w:t>
      </w:r>
      <w:r>
        <w:rPr>
          <w:rFonts w:eastAsia="Microsoft YaHei" w:cs="Times New Roman" w:ascii="Microsoft YaHei" w:hAnsi="Microsoft YaHei"/>
          <w:b w:val="false"/>
          <w:sz w:val="21"/>
        </w:rPr>
        <w:t xml:space="preserve">dify-lite </w:t>
      </w:r>
      <w:r>
        <w:rPr>
          <w:rFonts w:ascii="Microsoft YaHei" w:hAnsi="Microsoft YaHei" w:cs="Times New Roman" w:eastAsia="Microsoft YaHei"/>
          <w:b w:val="false"/>
          <w:sz w:val="21"/>
        </w:rPr>
        <w:t xml:space="preserve">托管第一版前端页面，前端通过同源 </w:t>
      </w:r>
      <w:r>
        <w:rPr>
          <w:rFonts w:eastAsia="Microsoft YaHei" w:cs="Times New Roman" w:ascii="Microsoft YaHei" w:hAnsi="Microsoft YaHei"/>
          <w:b w:val="false"/>
          <w:sz w:val="21"/>
        </w:rPr>
        <w:t xml:space="preserve">/api </w:t>
      </w:r>
      <w:r>
        <w:rPr>
          <w:rFonts w:ascii="Microsoft YaHei" w:hAnsi="Microsoft YaHei" w:cs="Times New Roman" w:eastAsia="Microsoft YaHei"/>
          <w:b w:val="false"/>
          <w:sz w:val="21"/>
        </w:rPr>
        <w:t>调用后端接口完成文档导入、检索问答、引用证据展示、原文查看以及培训、交接、设计辅助等场景化输出。</w:t>
      </w:r>
    </w:p>
    <w:p>
      <w:pPr>
        <w:pStyle w:val="Normal"/>
        <w:spacing w:lineRule="auto" w:line="276" w:before="0" w:after="60"/>
        <w:ind w:firstLine="420"/>
        <w:rPr/>
      </w:pPr>
      <w:r>
        <w:rPr>
          <w:rFonts w:ascii="Microsoft YaHei" w:hAnsi="Microsoft YaHei" w:cs="Times New Roman" w:eastAsia="Microsoft YaHei"/>
          <w:b w:val="false"/>
          <w:sz w:val="21"/>
        </w:rPr>
        <w:t xml:space="preserve">系统当前不是完整 </w:t>
      </w:r>
      <w:r>
        <w:rPr>
          <w:rFonts w:eastAsia="Microsoft YaHei" w:cs="Times New Roman" w:ascii="Microsoft YaHei" w:hAnsi="Microsoft YaHei"/>
          <w:b w:val="false"/>
          <w:sz w:val="21"/>
        </w:rPr>
        <w:t xml:space="preserve">Dify </w:t>
      </w:r>
      <w:r>
        <w:rPr>
          <w:rFonts w:ascii="Microsoft YaHei" w:hAnsi="Microsoft YaHei" w:cs="Times New Roman" w:eastAsia="Microsoft YaHei"/>
          <w:b w:val="false"/>
          <w:sz w:val="21"/>
        </w:rPr>
        <w:t>页面改造版，</w:t>
      </w:r>
      <w:r>
        <w:rPr>
          <w:rFonts w:eastAsia="Microsoft YaHei" w:cs="Times New Roman" w:ascii="Microsoft YaHei" w:hAnsi="Microsoft YaHei"/>
          <w:b w:val="false"/>
          <w:sz w:val="21"/>
        </w:rPr>
        <w:t xml:space="preserve">8088 </w:t>
      </w:r>
      <w:r>
        <w:rPr>
          <w:rFonts w:ascii="Microsoft YaHei" w:hAnsi="Microsoft YaHei" w:cs="Times New Roman" w:eastAsia="Microsoft YaHei"/>
          <w:b w:val="false"/>
          <w:sz w:val="21"/>
        </w:rPr>
        <w:t xml:space="preserve">主入口也不是 </w:t>
      </w:r>
      <w:r>
        <w:rPr>
          <w:rFonts w:eastAsia="Microsoft YaHei" w:cs="Times New Roman" w:ascii="Microsoft YaHei" w:hAnsi="Microsoft YaHei"/>
          <w:b w:val="false"/>
          <w:sz w:val="21"/>
        </w:rPr>
        <w:t xml:space="preserve">Docker </w:t>
      </w:r>
      <w:r>
        <w:rPr>
          <w:rFonts w:ascii="Microsoft YaHei" w:hAnsi="Microsoft YaHei" w:cs="Times New Roman" w:eastAsia="Microsoft YaHei"/>
          <w:b w:val="false"/>
          <w:sz w:val="21"/>
        </w:rPr>
        <w:t xml:space="preserve">中 </w:t>
      </w:r>
      <w:r>
        <w:rPr>
          <w:rFonts w:eastAsia="Microsoft YaHei" w:cs="Times New Roman" w:ascii="Microsoft YaHei" w:hAnsi="Microsoft YaHei"/>
          <w:b w:val="false"/>
          <w:sz w:val="21"/>
        </w:rPr>
        <w:t xml:space="preserve">Dify Web </w:t>
      </w:r>
      <w:r>
        <w:rPr>
          <w:rFonts w:ascii="Microsoft YaHei" w:hAnsi="Microsoft YaHei" w:cs="Times New Roman" w:eastAsia="Microsoft YaHei"/>
          <w:b w:val="false"/>
          <w:sz w:val="21"/>
        </w:rPr>
        <w:t xml:space="preserve">的 </w:t>
      </w:r>
      <w:r>
        <w:rPr>
          <w:rFonts w:eastAsia="Microsoft YaHei" w:cs="Times New Roman" w:ascii="Microsoft YaHei" w:hAnsi="Microsoft YaHei"/>
          <w:b w:val="false"/>
          <w:sz w:val="21"/>
        </w:rPr>
        <w:t xml:space="preserve">3000 </w:t>
      </w:r>
      <w:r>
        <w:rPr>
          <w:rFonts w:ascii="Microsoft YaHei" w:hAnsi="Microsoft YaHei" w:cs="Times New Roman" w:eastAsia="Microsoft YaHei"/>
          <w:b w:val="false"/>
          <w:sz w:val="21"/>
        </w:rPr>
        <w:t xml:space="preserve">端口。完整 </w:t>
      </w:r>
      <w:r>
        <w:rPr>
          <w:rFonts w:eastAsia="Microsoft YaHei" w:cs="Times New Roman" w:ascii="Microsoft YaHei" w:hAnsi="Microsoft YaHei"/>
          <w:b w:val="false"/>
          <w:sz w:val="21"/>
        </w:rPr>
        <w:t xml:space="preserve">Dify Docker </w:t>
      </w:r>
      <w:r>
        <w:rPr>
          <w:rFonts w:ascii="Microsoft YaHei" w:hAnsi="Microsoft YaHei" w:cs="Times New Roman" w:eastAsia="Microsoft YaHei"/>
          <w:b w:val="false"/>
          <w:sz w:val="21"/>
        </w:rPr>
        <w:t xml:space="preserve">栈作为外围基础设施和可选依赖存在，提供 </w:t>
      </w:r>
      <w:r>
        <w:rPr>
          <w:rFonts w:eastAsia="Microsoft YaHei" w:cs="Times New Roman" w:ascii="Microsoft YaHei" w:hAnsi="Microsoft YaHei"/>
          <w:b w:val="false"/>
          <w:sz w:val="21"/>
        </w:rPr>
        <w:t>Weaviate</w:t>
      </w:r>
      <w:r>
        <w:rPr>
          <w:rFonts w:ascii="Microsoft YaHei" w:hAnsi="Microsoft YaHei" w:cs="Times New Roman" w:eastAsia="Microsoft YaHei"/>
          <w:b w:val="false"/>
          <w:sz w:val="21"/>
        </w:rPr>
        <w:t>、</w:t>
      </w:r>
      <w:r>
        <w:rPr>
          <w:rFonts w:eastAsia="Microsoft YaHei" w:cs="Times New Roman" w:ascii="Microsoft YaHei" w:hAnsi="Microsoft YaHei"/>
          <w:b w:val="false"/>
          <w:sz w:val="21"/>
        </w:rPr>
        <w:t>sandbox</w:t>
      </w:r>
      <w:r>
        <w:rPr>
          <w:rFonts w:ascii="Microsoft YaHei" w:hAnsi="Microsoft YaHei" w:cs="Times New Roman" w:eastAsia="Microsoft YaHei"/>
          <w:b w:val="false"/>
          <w:sz w:val="21"/>
        </w:rPr>
        <w:t>、</w:t>
      </w:r>
      <w:r>
        <w:rPr>
          <w:rFonts w:eastAsia="Microsoft YaHei" w:cs="Times New Roman" w:ascii="Microsoft YaHei" w:hAnsi="Microsoft YaHei"/>
          <w:b w:val="false"/>
          <w:sz w:val="21"/>
        </w:rPr>
        <w:t>plugin daemon</w:t>
      </w:r>
      <w:r>
        <w:rPr>
          <w:rFonts w:ascii="Microsoft YaHei" w:hAnsi="Microsoft YaHei" w:cs="Times New Roman" w:eastAsia="Microsoft YaHei"/>
          <w:b w:val="false"/>
          <w:sz w:val="21"/>
        </w:rPr>
        <w:t>、</w:t>
      </w:r>
      <w:r>
        <w:rPr>
          <w:rFonts w:eastAsia="Microsoft YaHei" w:cs="Times New Roman" w:ascii="Microsoft YaHei" w:hAnsi="Microsoft YaHei"/>
          <w:b w:val="false"/>
          <w:sz w:val="21"/>
        </w:rPr>
        <w:t>db</w:t>
      </w:r>
      <w:r>
        <w:rPr>
          <w:rFonts w:ascii="Microsoft YaHei" w:hAnsi="Microsoft YaHei" w:cs="Times New Roman" w:eastAsia="Microsoft YaHei"/>
          <w:b w:val="false"/>
          <w:sz w:val="21"/>
        </w:rPr>
        <w:t>、</w:t>
      </w:r>
      <w:r>
        <w:rPr>
          <w:rFonts w:eastAsia="Microsoft YaHei" w:cs="Times New Roman" w:ascii="Microsoft YaHei" w:hAnsi="Microsoft YaHei"/>
          <w:b w:val="false"/>
          <w:sz w:val="21"/>
        </w:rPr>
        <w:t xml:space="preserve">redis </w:t>
      </w:r>
      <w:r>
        <w:rPr>
          <w:rFonts w:ascii="Microsoft YaHei" w:hAnsi="Microsoft YaHei" w:cs="Times New Roman" w:eastAsia="Microsoft YaHei"/>
          <w:b w:val="false"/>
          <w:sz w:val="21"/>
        </w:rPr>
        <w:t>等服务。</w:t>
      </w:r>
    </w:p>
    <w:p>
      <w:pPr>
        <w:pStyle w:val="Heading2"/>
        <w:spacing w:before="80" w:after="100"/>
        <w:rPr/>
      </w:pPr>
      <w:bookmarkStart w:id="5" w:name="__RefHeading___Toc11274_3531209514"/>
      <w:bookmarkEnd w:id="5"/>
      <w:r>
        <w:rPr>
          <w:rFonts w:eastAsia="Microsoft YaHei" w:cs="Times New Roman" w:ascii="Microsoft YaHei" w:hAnsi="Microsoft YaHei"/>
          <w:b/>
          <w:sz w:val="28"/>
        </w:rPr>
        <w:t xml:space="preserve">1.3 </w:t>
      </w:r>
      <w:r>
        <w:rPr>
          <w:rFonts w:ascii="Microsoft YaHei" w:hAnsi="Microsoft YaHei" w:cs="Times New Roman" w:eastAsia="Microsoft YaHei"/>
          <w:b/>
          <w:sz w:val="28"/>
        </w:rPr>
        <w:t>文档概述</w:t>
      </w:r>
    </w:p>
    <w:p>
      <w:pPr>
        <w:pStyle w:val="Normal"/>
        <w:spacing w:lineRule="auto" w:line="276" w:before="0" w:after="60"/>
        <w:ind w:firstLine="420"/>
        <w:rPr/>
      </w:pPr>
      <w:r>
        <w:rPr>
          <w:rFonts w:ascii="Microsoft YaHei" w:hAnsi="Microsoft YaHei" w:cs="Times New Roman" w:eastAsia="Microsoft YaHei"/>
          <w:b w:val="false"/>
          <w:sz w:val="21"/>
        </w:rPr>
        <w:t xml:space="preserve">本文档用于描述 </w:t>
      </w:r>
      <w:r>
        <w:rPr>
          <w:rFonts w:eastAsia="Microsoft YaHei" w:cs="Times New Roman" w:ascii="Microsoft YaHei" w:hAnsi="Microsoft YaHei"/>
          <w:b w:val="false"/>
          <w:sz w:val="21"/>
        </w:rPr>
        <w:t xml:space="preserve">SuperRAG </w:t>
      </w:r>
      <w:r>
        <w:rPr>
          <w:rFonts w:ascii="Microsoft YaHei" w:hAnsi="Microsoft YaHei" w:cs="Times New Roman" w:eastAsia="Microsoft YaHei"/>
          <w:b w:val="false"/>
          <w:sz w:val="21"/>
        </w:rPr>
        <w:t>当前版本的软件测试范围、测试对象、测试项、测试方法、测试环境、通过准则、暂停与恢复准则、测试交付物、追踪关系以及风险与约束。本文档只说明“测试什么、怎么测试、通过准则是什么、需要什么环境、覆盖哪些功能”，不记录测试执行结果。</w:t>
      </w:r>
    </w:p>
    <w:p>
      <w:pPr>
        <w:pStyle w:val="Heading2"/>
        <w:spacing w:before="80" w:after="100"/>
        <w:rPr/>
      </w:pPr>
      <w:bookmarkStart w:id="6" w:name="__RefHeading___Toc11276_3531209514"/>
      <w:bookmarkEnd w:id="6"/>
      <w:r>
        <w:rPr>
          <w:rFonts w:eastAsia="Microsoft YaHei" w:cs="Times New Roman" w:ascii="Microsoft YaHei" w:hAnsi="Microsoft YaHei"/>
          <w:b/>
          <w:sz w:val="28"/>
        </w:rPr>
        <w:t xml:space="preserve">1.4 </w:t>
      </w:r>
      <w:r>
        <w:rPr>
          <w:rFonts w:ascii="Microsoft YaHei" w:hAnsi="Microsoft YaHei" w:cs="Times New Roman" w:eastAsia="Microsoft YaHei"/>
          <w:b/>
          <w:sz w:val="28"/>
        </w:rPr>
        <w:t>测试范围</w:t>
      </w:r>
    </w:p>
    <w:p>
      <w:pPr>
        <w:pStyle w:val="Normal"/>
        <w:spacing w:lineRule="auto" w:line="276" w:before="0" w:after="60"/>
        <w:jc w:val="center"/>
        <w:rPr/>
      </w:pPr>
      <w:r>
        <w:rPr>
          <w:rFonts w:ascii="Microsoft YaHei" w:hAnsi="Microsoft YaHei" w:cs="Times New Roman" w:eastAsia="Microsoft YaHei"/>
          <w:b/>
          <w:sz w:val="20"/>
        </w:rPr>
        <w:t xml:space="preserve">表 </w:t>
      </w:r>
      <w:r>
        <w:rPr>
          <w:rFonts w:eastAsia="Microsoft YaHei" w:cs="Times New Roman" w:ascii="Microsoft YaHei" w:hAnsi="Microsoft YaHei"/>
          <w:b/>
          <w:sz w:val="20"/>
        </w:rPr>
        <w:t xml:space="preserve">1 </w:t>
      </w:r>
      <w:r>
        <w:rPr>
          <w:rFonts w:ascii="Microsoft YaHei" w:hAnsi="Microsoft YaHei" w:cs="Times New Roman" w:eastAsia="Microsoft YaHei"/>
          <w:b/>
          <w:sz w:val="20"/>
        </w:rPr>
        <w:t>测试范围表</w:t>
      </w:r>
    </w:p>
    <w:tbl>
      <w:tblPr>
        <w:tblStyle w:val="TableGrid"/>
        <w:tblW w:w="15024" w:type="dxa"/>
        <w:jc w:val="center"/>
        <w:tblInd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noHBand="0" w:noVBand="1" w:firstColumn="1" w:lastRow="0" w:lastColumn="0" w:firstRow="1"/>
      </w:tblPr>
      <w:tblGrid>
        <w:gridCol w:w="2504"/>
        <w:gridCol w:w="2503"/>
        <w:gridCol w:w="2505"/>
        <w:gridCol w:w="2504"/>
        <w:gridCol w:w="2503"/>
        <w:gridCol w:w="2504"/>
      </w:tblGrid>
      <w:tr>
        <w:trPr>
          <w:tblHeader w:val="true"/>
        </w:trPr>
        <w:tc>
          <w:tcPr>
            <w:tcW w:w="250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5"/>
                <w:szCs w:val="22"/>
                <w:lang w:val="en-US" w:eastAsia="en-US" w:bidi="ar-SA"/>
              </w:rPr>
              <w:t>序号</w:t>
            </w:r>
          </w:p>
        </w:tc>
        <w:tc>
          <w:tcPr>
            <w:tcW w:w="2503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5"/>
                <w:szCs w:val="22"/>
                <w:lang w:val="en-US" w:eastAsia="en-US" w:bidi="ar-SA"/>
              </w:rPr>
              <w:t>测试范围</w:t>
            </w:r>
          </w:p>
        </w:tc>
        <w:tc>
          <w:tcPr>
            <w:tcW w:w="250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5"/>
                <w:szCs w:val="22"/>
                <w:lang w:val="en-US" w:eastAsia="en-US" w:bidi="ar-SA"/>
              </w:rPr>
              <w:t>覆盖内容</w:t>
            </w:r>
          </w:p>
        </w:tc>
        <w:tc>
          <w:tcPr>
            <w:tcW w:w="250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5"/>
                <w:szCs w:val="22"/>
                <w:lang w:val="en-US" w:eastAsia="en-US" w:bidi="ar-SA"/>
              </w:rPr>
              <w:t>对应模块</w:t>
            </w:r>
          </w:p>
        </w:tc>
        <w:tc>
          <w:tcPr>
            <w:tcW w:w="2503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5"/>
                <w:szCs w:val="22"/>
                <w:lang w:val="en-US" w:eastAsia="en-US" w:bidi="ar-SA"/>
              </w:rPr>
              <w:t>是否纳入本次测试</w:t>
            </w:r>
          </w:p>
        </w:tc>
        <w:tc>
          <w:tcPr>
            <w:tcW w:w="250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5"/>
                <w:szCs w:val="22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1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前端页面与导航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P-01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至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P-10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页面入口、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hash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路由、表单、抽屉、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tab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、弹窗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M-01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M-02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M-03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M-06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至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M-12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是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覆盖当前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8088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主入口下第一版前端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2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文档与知识库管理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文档列表、筛选、上传、解析、切片、详情、引用统计、删除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M-03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M-04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是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不将未支持的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PDF/Excel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写入正式支持范围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3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RAG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检索与问答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本地检索、可选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Weaviate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、通用问答、引用证据、原文查看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M-05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M-06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是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模型服务与向量库异常纳入异常测试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4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场景化输出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培训、交接、设计辅助、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Markdown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导出、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Mermaid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图示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M-07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M-08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M-09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是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保留真实闭环与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fallback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边界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5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历史产物与知识缺口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产物保存、查询、删除、评审状态、知识缺口汇总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M-10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M-11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是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服务端持久化与本地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localStorage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差异需确认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6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配置、日志与诊断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公共配置、连接测试、部署日志、前端运行日志展示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M-12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M-13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是</w:t>
            </w:r>
          </w:p>
        </w:tc>
        <w:tc>
          <w:tcPr>
            <w:tcW w:w="2504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业务审计日志未识别，列为待确认边界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7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部署与停止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deploy.ps1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deploy-all.ps1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stop-all.ps1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、端口、健康检查、日志输出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M-13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是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覆盖本地轻量模式与全栈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Docker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模式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8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独立候选工程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dify-main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codex-provider-sync-full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非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SuperRAG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主系统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否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不纳入本次测试对象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9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生产级运维能力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域名、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HTTPS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Nginx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systemd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、备份恢复、高可用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未识别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否</w:t>
            </w:r>
          </w:p>
        </w:tc>
        <w:tc>
          <w:tcPr>
            <w:tcW w:w="2504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作为风险与待确认项</w:t>
            </w:r>
          </w:p>
        </w:tc>
      </w:tr>
    </w:tbl>
    <w:p>
      <w:pPr>
        <w:pStyle w:val="Normal"/>
        <w:rPr/>
      </w:pPr>
      <w:r>
        <w:rPr>
          <w:rFonts w:ascii="Microsoft YaHei" w:hAnsi="Microsoft YaHei" w:eastAsia="Microsoft YaHei"/>
          <w:sz w:val="21"/>
        </w:rPr>
      </w:r>
    </w:p>
    <w:p>
      <w:pPr>
        <w:pStyle w:val="Heading2"/>
        <w:spacing w:before="80" w:after="100"/>
        <w:rPr/>
      </w:pPr>
      <w:bookmarkStart w:id="7" w:name="__RefHeading___Toc11278_3531209514"/>
      <w:bookmarkEnd w:id="7"/>
      <w:r>
        <w:rPr>
          <w:rFonts w:eastAsia="Microsoft YaHei" w:cs="Times New Roman" w:ascii="Microsoft YaHei" w:hAnsi="Microsoft YaHei"/>
          <w:b/>
          <w:sz w:val="28"/>
        </w:rPr>
        <w:t xml:space="preserve">1.5 </w:t>
      </w:r>
      <w:r>
        <w:rPr>
          <w:rFonts w:ascii="Microsoft YaHei" w:hAnsi="Microsoft YaHei" w:cs="Times New Roman" w:eastAsia="Microsoft YaHei"/>
          <w:b/>
          <w:sz w:val="28"/>
        </w:rPr>
        <w:t>测试对象</w:t>
      </w:r>
    </w:p>
    <w:p>
      <w:pPr>
        <w:pStyle w:val="Normal"/>
        <w:spacing w:lineRule="auto" w:line="276" w:before="0" w:after="60"/>
        <w:ind w:firstLine="420"/>
        <w:rPr/>
      </w:pPr>
      <w:r>
        <w:rPr>
          <w:rFonts w:ascii="Microsoft YaHei" w:hAnsi="Microsoft YaHei" w:cs="Times New Roman" w:eastAsia="Microsoft YaHei"/>
          <w:b w:val="false"/>
          <w:sz w:val="21"/>
        </w:rPr>
        <w:t xml:space="preserve">本次测试对象包括 </w:t>
      </w:r>
      <w:r>
        <w:rPr>
          <w:rFonts w:eastAsia="Microsoft YaHei" w:cs="Times New Roman" w:ascii="Microsoft YaHei" w:hAnsi="Microsoft YaHei"/>
          <w:b w:val="false"/>
          <w:sz w:val="21"/>
        </w:rPr>
        <w:t xml:space="preserve">SuperRAG </w:t>
      </w:r>
      <w:r>
        <w:rPr>
          <w:rFonts w:ascii="Microsoft YaHei" w:hAnsi="Microsoft YaHei" w:cs="Times New Roman" w:eastAsia="Microsoft YaHei"/>
          <w:b w:val="false"/>
          <w:sz w:val="21"/>
        </w:rPr>
        <w:t>第一版前端、</w:t>
      </w:r>
      <w:r>
        <w:rPr>
          <w:rFonts w:eastAsia="Microsoft YaHei" w:cs="Times New Roman" w:ascii="Microsoft YaHei" w:hAnsi="Microsoft YaHei"/>
          <w:b w:val="false"/>
          <w:sz w:val="21"/>
        </w:rPr>
        <w:t xml:space="preserve">dify-lite </w:t>
      </w:r>
      <w:r>
        <w:rPr>
          <w:rFonts w:ascii="Microsoft YaHei" w:hAnsi="Microsoft YaHei" w:cs="Times New Roman" w:eastAsia="Microsoft YaHei"/>
          <w:b w:val="false"/>
          <w:sz w:val="21"/>
        </w:rPr>
        <w:t>后端、</w:t>
      </w:r>
      <w:r>
        <w:rPr>
          <w:rFonts w:eastAsia="Microsoft YaHei" w:cs="Times New Roman" w:ascii="Microsoft YaHei" w:hAnsi="Microsoft YaHei"/>
          <w:b w:val="false"/>
          <w:sz w:val="21"/>
        </w:rPr>
        <w:t xml:space="preserve">SQLite </w:t>
      </w:r>
      <w:r>
        <w:rPr>
          <w:rFonts w:ascii="Microsoft YaHei" w:hAnsi="Microsoft YaHei" w:cs="Times New Roman" w:eastAsia="Microsoft YaHei"/>
          <w:b w:val="false"/>
          <w:sz w:val="21"/>
        </w:rPr>
        <w:t>本地持久化、</w:t>
      </w:r>
      <w:r>
        <w:rPr>
          <w:rFonts w:eastAsia="Microsoft YaHei" w:cs="Times New Roman" w:ascii="Microsoft YaHei" w:hAnsi="Microsoft YaHei"/>
          <w:b w:val="false"/>
          <w:sz w:val="21"/>
        </w:rPr>
        <w:t xml:space="preserve">uploads </w:t>
      </w:r>
      <w:r>
        <w:rPr>
          <w:rFonts w:ascii="Microsoft YaHei" w:hAnsi="Microsoft YaHei" w:cs="Times New Roman" w:eastAsia="Microsoft YaHei"/>
          <w:b w:val="false"/>
          <w:sz w:val="21"/>
        </w:rPr>
        <w:t xml:space="preserve">上传目录、可选 </w:t>
      </w:r>
      <w:r>
        <w:rPr>
          <w:rFonts w:eastAsia="Microsoft YaHei" w:cs="Times New Roman" w:ascii="Microsoft YaHei" w:hAnsi="Microsoft YaHei"/>
          <w:b w:val="false"/>
          <w:sz w:val="21"/>
        </w:rPr>
        <w:t xml:space="preserve">Weaviate </w:t>
      </w:r>
      <w:r>
        <w:rPr>
          <w:rFonts w:ascii="Microsoft YaHei" w:hAnsi="Microsoft YaHei" w:cs="Times New Roman" w:eastAsia="Microsoft YaHei"/>
          <w:b w:val="false"/>
          <w:sz w:val="21"/>
        </w:rPr>
        <w:t xml:space="preserve">检索、完整 </w:t>
      </w:r>
      <w:r>
        <w:rPr>
          <w:rFonts w:eastAsia="Microsoft YaHei" w:cs="Times New Roman" w:ascii="Microsoft YaHei" w:hAnsi="Microsoft YaHei"/>
          <w:b w:val="false"/>
          <w:sz w:val="21"/>
        </w:rPr>
        <w:t xml:space="preserve">Dify Docker </w:t>
      </w:r>
      <w:r>
        <w:rPr>
          <w:rFonts w:ascii="Microsoft YaHei" w:hAnsi="Microsoft YaHei" w:cs="Times New Roman" w:eastAsia="Microsoft YaHei"/>
          <w:b w:val="false"/>
          <w:sz w:val="21"/>
        </w:rPr>
        <w:t xml:space="preserve">依赖栈配置、部署脚本、前端 </w:t>
      </w:r>
      <w:r>
        <w:rPr>
          <w:rFonts w:eastAsia="Microsoft YaHei" w:cs="Times New Roman" w:ascii="Microsoft YaHei" w:hAnsi="Microsoft YaHei"/>
          <w:b w:val="false"/>
          <w:sz w:val="21"/>
        </w:rPr>
        <w:t xml:space="preserve">localStorage </w:t>
      </w:r>
      <w:r>
        <w:rPr>
          <w:rFonts w:ascii="Microsoft YaHei" w:hAnsi="Microsoft YaHei" w:cs="Times New Roman" w:eastAsia="Microsoft YaHei"/>
          <w:b w:val="false"/>
          <w:sz w:val="21"/>
        </w:rPr>
        <w:t>历史记录和公开配置接口。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ascii="Microsoft YaHei" w:hAnsi="Microsoft YaHei" w:eastAsia="Microsoft YaHei"/>
          <w:sz w:val="21"/>
        </w:rPr>
        <w:t>前端对象：SuperRAG/第一版/index.html、SuperRAG/第一版/app.js、SuperRAG/第一版/api-config.js、SuperRAG/第一版/document-service.js、SuperRAG/第一版/chat-service.js、SuperRAG/第一版/design-service.js、SuperRAG/第一版/training-service.js、SuperRAG/第一版/handover-service.js、SuperRAG/第一版/history-service.js、SuperRAG/第一版/dashboard-service.js、SuperRAG/第一版/settings-service.js 等页面与 service 文件。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ascii="Microsoft YaHei" w:hAnsi="Microsoft YaHei" w:eastAsia="Microsoft YaHei"/>
          <w:sz w:val="21"/>
        </w:rPr>
        <w:t>后端对象：SuperRAG/dify-lite/run.py、SuperRAG/dify-lite/app/api/routes.py、SuperRAG/dify-lite/app/services/frontend_service.py、SuperRAG/dify-lite/app/services/ingestion_service.py、SuperRAG/dify-lite/app/services/retrieval_service.py、SuperRAG/dify-lite/app/services/chat_service.py、SuperRAG/dify-lite/app/services/design_pipeline.py、SuperRAG/dify-lite/app/services/handover_pipeline.py、SuperRAG/dify-lite/app/storage/repository.py、SuperRAG/dify-lite/app/storage/db.py 等模块。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ascii="Microsoft YaHei" w:hAnsi="Microsoft YaHei" w:cs="Times New Roman" w:eastAsia="Microsoft YaHei"/>
          <w:sz w:val="21"/>
        </w:rPr>
        <w:t>数据对象：</w:t>
      </w:r>
      <w:r>
        <w:rPr>
          <w:rFonts w:eastAsia="Microsoft YaHei" w:cs="Times New Roman" w:ascii="Microsoft YaHei" w:hAnsi="Microsoft YaHei"/>
          <w:sz w:val="21"/>
        </w:rPr>
        <w:t>Settings</w:t>
      </w:r>
      <w:r>
        <w:rPr>
          <w:rFonts w:ascii="Microsoft YaHei" w:hAnsi="Microsoft YaHei" w:cs="Times New Roman" w:eastAsia="Microsoft YaHei"/>
          <w:sz w:val="21"/>
        </w:rPr>
        <w:t>、</w:t>
      </w:r>
      <w:r>
        <w:rPr>
          <w:rFonts w:eastAsia="Microsoft YaHei" w:cs="Times New Roman" w:ascii="Microsoft YaHei" w:hAnsi="Microsoft YaHei"/>
          <w:sz w:val="21"/>
        </w:rPr>
        <w:t>Collection</w:t>
      </w:r>
      <w:r>
        <w:rPr>
          <w:rFonts w:ascii="Microsoft YaHei" w:hAnsi="Microsoft YaHei" w:cs="Times New Roman" w:eastAsia="Microsoft YaHei"/>
          <w:sz w:val="21"/>
        </w:rPr>
        <w:t>、</w:t>
      </w:r>
      <w:r>
        <w:rPr>
          <w:rFonts w:eastAsia="Microsoft YaHei" w:cs="Times New Roman" w:ascii="Microsoft YaHei" w:hAnsi="Microsoft YaHei"/>
          <w:sz w:val="21"/>
        </w:rPr>
        <w:t>Document</w:t>
      </w:r>
      <w:r>
        <w:rPr>
          <w:rFonts w:ascii="Microsoft YaHei" w:hAnsi="Microsoft YaHei" w:cs="Times New Roman" w:eastAsia="Microsoft YaHei"/>
          <w:sz w:val="21"/>
        </w:rPr>
        <w:t>、</w:t>
      </w:r>
      <w:r>
        <w:rPr>
          <w:rFonts w:eastAsia="Microsoft YaHei" w:cs="Times New Roman" w:ascii="Microsoft YaHei" w:hAnsi="Microsoft YaHei"/>
          <w:sz w:val="21"/>
        </w:rPr>
        <w:t>Chunk</w:t>
      </w:r>
      <w:r>
        <w:rPr>
          <w:rFonts w:ascii="Microsoft YaHei" w:hAnsi="Microsoft YaHei" w:cs="Times New Roman" w:eastAsia="Microsoft YaHei"/>
          <w:sz w:val="21"/>
        </w:rPr>
        <w:t>、</w:t>
      </w:r>
      <w:r>
        <w:rPr>
          <w:rFonts w:eastAsia="Microsoft YaHei" w:cs="Times New Roman" w:ascii="Microsoft YaHei" w:hAnsi="Microsoft YaHei"/>
          <w:sz w:val="21"/>
        </w:rPr>
        <w:t>Artifact</w:t>
      </w:r>
      <w:r>
        <w:rPr>
          <w:rFonts w:ascii="Microsoft YaHei" w:hAnsi="Microsoft YaHei" w:cs="Times New Roman" w:eastAsia="Microsoft YaHei"/>
          <w:sz w:val="21"/>
        </w:rPr>
        <w:t>、</w:t>
      </w:r>
      <w:r>
        <w:rPr>
          <w:rFonts w:eastAsia="Microsoft YaHei" w:cs="Times New Roman" w:ascii="Microsoft YaHei" w:hAnsi="Microsoft YaHei"/>
          <w:sz w:val="21"/>
        </w:rPr>
        <w:t>Citation</w:t>
      </w:r>
      <w:r>
        <w:rPr>
          <w:rFonts w:ascii="Microsoft YaHei" w:hAnsi="Microsoft YaHei" w:cs="Times New Roman" w:eastAsia="Microsoft YaHei"/>
          <w:sz w:val="21"/>
        </w:rPr>
        <w:t>、</w:t>
      </w:r>
      <w:r>
        <w:rPr>
          <w:rFonts w:eastAsia="Microsoft YaHei" w:cs="Times New Roman" w:ascii="Microsoft YaHei" w:hAnsi="Microsoft YaHei"/>
          <w:sz w:val="21"/>
        </w:rPr>
        <w:t>DesignOutput</w:t>
      </w:r>
      <w:r>
        <w:rPr>
          <w:rFonts w:ascii="Microsoft YaHei" w:hAnsi="Microsoft YaHei" w:cs="Times New Roman" w:eastAsia="Microsoft YaHei"/>
          <w:sz w:val="21"/>
        </w:rPr>
        <w:t>、</w:t>
      </w:r>
      <w:r>
        <w:rPr>
          <w:rFonts w:eastAsia="Microsoft YaHei" w:cs="Times New Roman" w:ascii="Microsoft YaHei" w:hAnsi="Microsoft YaHei"/>
          <w:sz w:val="21"/>
        </w:rPr>
        <w:t>HandoverOutput</w:t>
      </w:r>
      <w:r>
        <w:rPr>
          <w:rFonts w:ascii="Microsoft YaHei" w:hAnsi="Microsoft YaHei" w:cs="Times New Roman" w:eastAsia="Microsoft YaHei"/>
          <w:sz w:val="21"/>
        </w:rPr>
        <w:t>、上传文件、</w:t>
      </w:r>
      <w:r>
        <w:rPr>
          <w:rFonts w:eastAsia="Microsoft YaHei" w:cs="Times New Roman" w:ascii="Microsoft YaHei" w:hAnsi="Microsoft YaHei"/>
          <w:sz w:val="21"/>
        </w:rPr>
        <w:t xml:space="preserve">Docker </w:t>
      </w:r>
      <w:r>
        <w:rPr>
          <w:rFonts w:ascii="Microsoft YaHei" w:hAnsi="Microsoft YaHei" w:cs="Times New Roman" w:eastAsia="Microsoft YaHei"/>
          <w:sz w:val="21"/>
        </w:rPr>
        <w:t>配置对象。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ascii="Microsoft YaHei" w:hAnsi="Microsoft YaHei" w:cs="Times New Roman" w:eastAsia="Microsoft YaHei"/>
          <w:sz w:val="21"/>
        </w:rPr>
        <w:t>外部依赖对象：</w:t>
      </w:r>
      <w:r>
        <w:rPr>
          <w:rFonts w:eastAsia="Microsoft YaHei" w:cs="Times New Roman" w:ascii="Microsoft YaHei" w:hAnsi="Microsoft YaHei"/>
          <w:sz w:val="21"/>
        </w:rPr>
        <w:t xml:space="preserve">OpenAI-compatible </w:t>
      </w:r>
      <w:r>
        <w:rPr>
          <w:rFonts w:ascii="Microsoft YaHei" w:hAnsi="Microsoft YaHei" w:cs="Times New Roman" w:eastAsia="Microsoft YaHei"/>
          <w:sz w:val="21"/>
        </w:rPr>
        <w:t xml:space="preserve">模型服务、可选 </w:t>
      </w:r>
      <w:r>
        <w:rPr>
          <w:rFonts w:eastAsia="Microsoft YaHei" w:cs="Times New Roman" w:ascii="Microsoft YaHei" w:hAnsi="Microsoft YaHei"/>
          <w:sz w:val="21"/>
        </w:rPr>
        <w:t>Weaviate</w:t>
      </w:r>
      <w:r>
        <w:rPr>
          <w:rFonts w:ascii="Microsoft YaHei" w:hAnsi="Microsoft YaHei" w:cs="Times New Roman" w:eastAsia="Microsoft YaHei"/>
          <w:sz w:val="21"/>
        </w:rPr>
        <w:t>、</w:t>
      </w:r>
      <w:r>
        <w:rPr>
          <w:rFonts w:eastAsia="Microsoft YaHei" w:cs="Times New Roman" w:ascii="Microsoft YaHei" w:hAnsi="Microsoft YaHei"/>
          <w:sz w:val="21"/>
        </w:rPr>
        <w:t xml:space="preserve">Docker Compose </w:t>
      </w:r>
      <w:r>
        <w:rPr>
          <w:rFonts w:ascii="Microsoft YaHei" w:hAnsi="Microsoft YaHei" w:cs="Times New Roman" w:eastAsia="Microsoft YaHei"/>
          <w:sz w:val="21"/>
        </w:rPr>
        <w:t>依赖栈。</w:t>
      </w:r>
    </w:p>
    <w:p>
      <w:pPr>
        <w:pStyle w:val="Heading2"/>
        <w:spacing w:before="80" w:after="100"/>
        <w:rPr/>
      </w:pPr>
      <w:bookmarkStart w:id="8" w:name="__RefHeading___Toc11280_3531209514"/>
      <w:bookmarkEnd w:id="8"/>
      <w:r>
        <w:rPr>
          <w:rFonts w:eastAsia="Microsoft YaHei" w:cs="Times New Roman" w:ascii="Microsoft YaHei" w:hAnsi="Microsoft YaHei"/>
          <w:b/>
          <w:sz w:val="28"/>
        </w:rPr>
        <w:t xml:space="preserve">1.6 </w:t>
      </w:r>
      <w:r>
        <w:rPr>
          <w:rFonts w:ascii="Microsoft YaHei" w:hAnsi="Microsoft YaHei" w:cs="Times New Roman" w:eastAsia="Microsoft YaHei"/>
          <w:b/>
          <w:sz w:val="28"/>
        </w:rPr>
        <w:t>不测试范围</w:t>
      </w:r>
    </w:p>
    <w:p>
      <w:pPr>
        <w:pStyle w:val="Normal"/>
        <w:spacing w:lineRule="auto" w:line="276" w:before="0" w:after="60"/>
        <w:jc w:val="center"/>
        <w:rPr/>
      </w:pPr>
      <w:r>
        <w:rPr>
          <w:rFonts w:ascii="Microsoft YaHei" w:hAnsi="Microsoft YaHei" w:cs="Times New Roman" w:eastAsia="Microsoft YaHei"/>
          <w:b/>
          <w:sz w:val="20"/>
        </w:rPr>
        <w:t xml:space="preserve">表 </w:t>
      </w:r>
      <w:r>
        <w:rPr>
          <w:rFonts w:eastAsia="Microsoft YaHei" w:cs="Times New Roman" w:ascii="Microsoft YaHei" w:hAnsi="Microsoft YaHei"/>
          <w:b/>
          <w:sz w:val="20"/>
        </w:rPr>
        <w:t xml:space="preserve">2 </w:t>
      </w:r>
      <w:r>
        <w:rPr>
          <w:rFonts w:ascii="Microsoft YaHei" w:hAnsi="Microsoft YaHei" w:cs="Times New Roman" w:eastAsia="Microsoft YaHei"/>
          <w:b/>
          <w:sz w:val="20"/>
        </w:rPr>
        <w:t>不测试范围表</w:t>
      </w:r>
    </w:p>
    <w:tbl>
      <w:tblPr>
        <w:tblStyle w:val="TableGrid"/>
        <w:tblW w:w="15024" w:type="dxa"/>
        <w:jc w:val="center"/>
        <w:tblInd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noHBand="0" w:noVBand="1" w:firstColumn="1" w:lastRow="0" w:lastColumn="0" w:firstRow="1"/>
      </w:tblPr>
      <w:tblGrid>
        <w:gridCol w:w="5008"/>
        <w:gridCol w:w="5008"/>
        <w:gridCol w:w="5008"/>
      </w:tblGrid>
      <w:tr>
        <w:trPr>
          <w:tblHeader w:val="true"/>
        </w:trPr>
        <w:tc>
          <w:tcPr>
            <w:tcW w:w="5008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6"/>
                <w:szCs w:val="22"/>
                <w:lang w:val="en-US" w:eastAsia="en-US" w:bidi="ar-SA"/>
              </w:rPr>
              <w:t>编号</w:t>
            </w:r>
          </w:p>
        </w:tc>
        <w:tc>
          <w:tcPr>
            <w:tcW w:w="5008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6"/>
                <w:szCs w:val="22"/>
                <w:lang w:val="en-US" w:eastAsia="en-US" w:bidi="ar-SA"/>
              </w:rPr>
              <w:t>不测试特性</w:t>
            </w:r>
            <w:r>
              <w:rPr>
                <w:rFonts w:eastAsia="Microsoft YaHei" w:cs="Times New Roman" w:ascii="Microsoft YaHei" w:hAnsi="Microsoft YaHei"/>
                <w:b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Microsoft YaHei" w:hAnsi="Microsoft YaHei" w:cs="Times New Roman" w:eastAsia="Microsoft YaHei"/>
                <w:b/>
                <w:kern w:val="0"/>
                <w:sz w:val="16"/>
                <w:szCs w:val="22"/>
                <w:lang w:val="en-US" w:eastAsia="en-US" w:bidi="ar-SA"/>
              </w:rPr>
              <w:t>对象</w:t>
            </w:r>
          </w:p>
        </w:tc>
        <w:tc>
          <w:tcPr>
            <w:tcW w:w="5008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6"/>
                <w:szCs w:val="22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NT-01</w:t>
            </w:r>
          </w:p>
        </w:tc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dify-main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上游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参考工程</w:t>
            </w:r>
          </w:p>
        </w:tc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同根目录参考工程，不属于本次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SuperRAG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主系统功能清单</w:t>
            </w:r>
          </w:p>
        </w:tc>
      </w:tr>
      <w:tr>
        <w:trPr/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NT-02</w:t>
            </w:r>
          </w:p>
        </w:tc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codex-provider-sync-full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独立工程</w:t>
            </w:r>
          </w:p>
        </w:tc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独立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.NET/Node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工程，未纳入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SuperRAG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主功能清单</w:t>
            </w:r>
          </w:p>
        </w:tc>
      </w:tr>
      <w:tr>
        <w:trPr/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NT-03</w:t>
            </w:r>
          </w:p>
        </w:tc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完整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Dify Web 3000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控制台业务功能</w:t>
            </w:r>
          </w:p>
        </w:tc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仅作为可选依赖栈和基础设施，不作为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8088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主页面直接业务后端测试对象</w:t>
            </w:r>
          </w:p>
        </w:tc>
      </w:tr>
      <w:tr>
        <w:trPr/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NT-04</w:t>
            </w:r>
          </w:p>
        </w:tc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PDF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Excel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、旧版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doc/ppt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文档解析能力</w:t>
            </w:r>
          </w:p>
        </w:tc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当前实现未识别为支持格式，不写入正式测试项；可作为不支持格式异常测试</w:t>
            </w:r>
          </w:p>
        </w:tc>
      </w:tr>
      <w:tr>
        <w:trPr/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NT-05</w:t>
            </w:r>
          </w:p>
        </w:tc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生产级域名、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HTTPS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Nginx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systemd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、高可用和备份恢复</w:t>
            </w:r>
          </w:p>
        </w:tc>
        <w:tc>
          <w:tcPr>
            <w:tcW w:w="5008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未识别正式生产部署方式；列为风险与待确认信息</w:t>
            </w:r>
          </w:p>
        </w:tc>
      </w:tr>
      <w:tr>
        <w:trPr/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NT-06</w:t>
            </w:r>
          </w:p>
        </w:tc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未实现的后端认证、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RBAC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、审计日志、设置持久化接口</w:t>
            </w:r>
          </w:p>
        </w:tc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仅测试当前边界和待确认标记，不将其写成已实现能力</w:t>
            </w:r>
          </w:p>
        </w:tc>
      </w:tr>
    </w:tbl>
    <w:p>
      <w:pPr>
        <w:pStyle w:val="Normal"/>
        <w:rPr/>
      </w:pPr>
      <w:r>
        <w:rPr>
          <w:rFonts w:ascii="Microsoft YaHei" w:hAnsi="Microsoft YaHei" w:eastAsia="Microsoft YaHei"/>
          <w:sz w:val="21"/>
        </w:rPr>
      </w:r>
    </w:p>
    <w:p>
      <w:pPr>
        <w:pStyle w:val="Heading1"/>
        <w:spacing w:before="160" w:after="100"/>
        <w:rPr/>
      </w:pPr>
      <w:bookmarkStart w:id="9" w:name="__RefHeading___Toc11282_3531209514"/>
      <w:bookmarkEnd w:id="9"/>
      <w:r>
        <w:rPr>
          <w:rFonts w:eastAsia="Microsoft YaHei" w:cs="Times New Roman" w:ascii="Microsoft YaHei" w:hAnsi="Microsoft YaHei"/>
          <w:b/>
          <w:sz w:val="32"/>
        </w:rPr>
        <w:t xml:space="preserve">2 </w:t>
      </w:r>
      <w:r>
        <w:rPr>
          <w:rFonts w:ascii="Microsoft YaHei" w:hAnsi="Microsoft YaHei" w:cs="Times New Roman" w:eastAsia="Microsoft YaHei"/>
          <w:b/>
          <w:sz w:val="32"/>
        </w:rPr>
        <w:t>引用文档</w:t>
      </w:r>
    </w:p>
    <w:p>
      <w:pPr>
        <w:pStyle w:val="Normal"/>
        <w:spacing w:lineRule="auto" w:line="276" w:before="0" w:after="60"/>
        <w:jc w:val="center"/>
        <w:rPr/>
      </w:pPr>
      <w:r>
        <w:rPr>
          <w:rFonts w:ascii="Microsoft YaHei" w:hAnsi="Microsoft YaHei" w:cs="Times New Roman" w:eastAsia="Microsoft YaHei"/>
          <w:b/>
          <w:sz w:val="20"/>
        </w:rPr>
        <w:t xml:space="preserve">表 </w:t>
      </w:r>
      <w:r>
        <w:rPr>
          <w:rFonts w:eastAsia="Microsoft YaHei" w:cs="Times New Roman" w:ascii="Microsoft YaHei" w:hAnsi="Microsoft YaHei"/>
          <w:b/>
          <w:sz w:val="20"/>
        </w:rPr>
        <w:t xml:space="preserve">3 </w:t>
      </w:r>
      <w:r>
        <w:rPr>
          <w:rFonts w:ascii="Microsoft YaHei" w:hAnsi="Microsoft YaHei" w:cs="Times New Roman" w:eastAsia="Microsoft YaHei"/>
          <w:b/>
          <w:sz w:val="20"/>
        </w:rPr>
        <w:t>引用文档表</w:t>
      </w:r>
    </w:p>
    <w:tbl>
      <w:tblPr>
        <w:tblStyle w:val="TableGrid"/>
        <w:tblW w:w="15025" w:type="dxa"/>
        <w:jc w:val="center"/>
        <w:tblInd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noHBand="0" w:noVBand="1" w:firstColumn="1" w:lastRow="0" w:lastColumn="0" w:firstRow="1"/>
      </w:tblPr>
      <w:tblGrid>
        <w:gridCol w:w="3005"/>
        <w:gridCol w:w="3005"/>
        <w:gridCol w:w="3005"/>
        <w:gridCol w:w="3005"/>
        <w:gridCol w:w="3005"/>
      </w:tblGrid>
      <w:tr>
        <w:trPr>
          <w:tblHeader w:val="true"/>
        </w:trPr>
        <w:tc>
          <w:tcPr>
            <w:tcW w:w="300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6"/>
                <w:szCs w:val="22"/>
                <w:lang w:val="en-US" w:eastAsia="en-US" w:bidi="ar-SA"/>
              </w:rPr>
              <w:t>编号</w:t>
            </w:r>
          </w:p>
        </w:tc>
        <w:tc>
          <w:tcPr>
            <w:tcW w:w="300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6"/>
                <w:szCs w:val="22"/>
                <w:lang w:val="en-US" w:eastAsia="en-US" w:bidi="ar-SA"/>
              </w:rPr>
              <w:t>标题</w:t>
            </w:r>
          </w:p>
        </w:tc>
        <w:tc>
          <w:tcPr>
            <w:tcW w:w="300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6"/>
                <w:szCs w:val="22"/>
                <w:lang w:val="en-US" w:eastAsia="en-US" w:bidi="ar-SA"/>
              </w:rPr>
              <w:t>修订版本</w:t>
            </w:r>
            <w:r>
              <w:rPr>
                <w:rFonts w:eastAsia="Microsoft YaHei" w:cs="Times New Roman" w:ascii="Microsoft YaHei" w:hAnsi="Microsoft YaHei"/>
                <w:b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Microsoft YaHei" w:hAnsi="Microsoft YaHei" w:cs="Times New Roman" w:eastAsia="Microsoft YaHei"/>
                <w:b/>
                <w:kern w:val="0"/>
                <w:sz w:val="16"/>
                <w:szCs w:val="22"/>
                <w:lang w:val="en-US" w:eastAsia="en-US" w:bidi="ar-SA"/>
              </w:rPr>
              <w:t>日期</w:t>
            </w:r>
          </w:p>
        </w:tc>
        <w:tc>
          <w:tcPr>
            <w:tcW w:w="300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6"/>
                <w:szCs w:val="22"/>
                <w:lang w:val="en-US" w:eastAsia="en-US" w:bidi="ar-SA"/>
              </w:rPr>
              <w:t>来源</w:t>
            </w:r>
          </w:p>
        </w:tc>
        <w:tc>
          <w:tcPr>
            <w:tcW w:w="300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6"/>
                <w:szCs w:val="22"/>
                <w:lang w:val="en-US" w:eastAsia="en-US" w:bidi="ar-SA"/>
              </w:rPr>
              <w:t>用途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RD-01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真实项目测试分析输入包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2026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年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6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月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项目分析材料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提供项目基本信息、模块、功能点、接口、页面、数据对象、配置项、部署与异常边界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RD-02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SuperRAG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系统设计说明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2026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年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6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月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项目设计文档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提供系统范围、设计对象、体系结构、接口设计、数据组织和需求追踪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RD-03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软件测试大纲模板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模板文件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测试文档模板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提供封面、签署页、修改记录、范围、引用文档、测试准备、测试说明、评价准则等格式参考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RD-04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SuperRAG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第一版前端工程文件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当前版本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项目源码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作为前端页面、路由、交互、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service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层和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fallback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行为的测试依据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RD-05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SuperRAG dify-lite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后端工程文件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当前版本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项目源码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作为后端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API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、文档入库、检索、模型调用、场景输出、原文查看和存储测试依据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RD-06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SuperRAG Dify Docker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当前版本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项目配置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作为全栈部署、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Weaviate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Redis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Postgres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Sandbox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Plugin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等依赖测试依据</w:t>
            </w:r>
          </w:p>
        </w:tc>
      </w:tr>
    </w:tbl>
    <w:p>
      <w:pPr>
        <w:pStyle w:val="Normal"/>
        <w:rPr/>
      </w:pPr>
      <w:r>
        <w:rPr>
          <w:rFonts w:ascii="Microsoft YaHei" w:hAnsi="Microsoft YaHei" w:eastAsia="Microsoft YaHei"/>
          <w:sz w:val="21"/>
        </w:rPr>
      </w:r>
    </w:p>
    <w:p>
      <w:pPr>
        <w:pStyle w:val="Heading1"/>
        <w:spacing w:before="160" w:after="100"/>
        <w:rPr/>
      </w:pPr>
      <w:bookmarkStart w:id="10" w:name="__RefHeading___Toc11284_3531209514"/>
      <w:bookmarkEnd w:id="10"/>
      <w:r>
        <w:rPr>
          <w:rFonts w:eastAsia="Microsoft YaHei" w:cs="Times New Roman" w:ascii="Microsoft YaHei" w:hAnsi="Microsoft YaHei"/>
          <w:b/>
          <w:sz w:val="32"/>
        </w:rPr>
        <w:t xml:space="preserve">3 </w:t>
      </w:r>
      <w:r>
        <w:rPr>
          <w:rFonts w:ascii="Microsoft YaHei" w:hAnsi="Microsoft YaHei" w:cs="Times New Roman" w:eastAsia="Microsoft YaHei"/>
          <w:b/>
          <w:sz w:val="32"/>
        </w:rPr>
        <w:t>测试项</w:t>
      </w:r>
    </w:p>
    <w:p>
      <w:pPr>
        <w:pStyle w:val="Heading2"/>
        <w:spacing w:before="80" w:after="100"/>
        <w:rPr/>
      </w:pPr>
      <w:bookmarkStart w:id="11" w:name="__RefHeading___Toc11286_3531209514"/>
      <w:bookmarkEnd w:id="11"/>
      <w:r>
        <w:rPr>
          <w:rFonts w:eastAsia="Microsoft YaHei" w:cs="Times New Roman" w:ascii="Microsoft YaHei" w:hAnsi="Microsoft YaHei"/>
          <w:b/>
          <w:sz w:val="28"/>
        </w:rPr>
        <w:t xml:space="preserve">3.1 </w:t>
      </w:r>
      <w:r>
        <w:rPr>
          <w:rFonts w:ascii="Microsoft YaHei" w:hAnsi="Microsoft YaHei" w:cs="Times New Roman" w:eastAsia="Microsoft YaHei"/>
          <w:b/>
          <w:sz w:val="28"/>
        </w:rPr>
        <w:t>测试项总览</w:t>
      </w:r>
    </w:p>
    <w:p>
      <w:pPr>
        <w:pStyle w:val="Normal"/>
        <w:spacing w:lineRule="auto" w:line="276" w:before="0" w:after="60"/>
        <w:jc w:val="center"/>
        <w:rPr/>
      </w:pPr>
      <w:r>
        <w:rPr>
          <w:rFonts w:ascii="Microsoft YaHei" w:hAnsi="Microsoft YaHei" w:cs="Times New Roman" w:eastAsia="Microsoft YaHei"/>
          <w:b/>
          <w:sz w:val="20"/>
        </w:rPr>
        <w:t xml:space="preserve">表 </w:t>
      </w:r>
      <w:r>
        <w:rPr>
          <w:rFonts w:eastAsia="Microsoft YaHei" w:cs="Times New Roman" w:ascii="Microsoft YaHei" w:hAnsi="Microsoft YaHei"/>
          <w:b/>
          <w:sz w:val="20"/>
        </w:rPr>
        <w:t xml:space="preserve">4 </w:t>
      </w:r>
      <w:r>
        <w:rPr>
          <w:rFonts w:ascii="Microsoft YaHei" w:hAnsi="Microsoft YaHei" w:cs="Times New Roman" w:eastAsia="Microsoft YaHei"/>
          <w:b/>
          <w:sz w:val="20"/>
        </w:rPr>
        <w:t>测试项总览表</w:t>
      </w:r>
    </w:p>
    <w:tbl>
      <w:tblPr>
        <w:tblStyle w:val="TableGrid"/>
        <w:tblW w:w="15022" w:type="dxa"/>
        <w:jc w:val="center"/>
        <w:tblInd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noHBand="0" w:noVBand="1" w:firstColumn="1" w:lastRow="0" w:lastColumn="0" w:firstRow="1"/>
      </w:tblPr>
      <w:tblGrid>
        <w:gridCol w:w="2146"/>
        <w:gridCol w:w="2145"/>
        <w:gridCol w:w="2147"/>
        <w:gridCol w:w="2145"/>
        <w:gridCol w:w="2147"/>
        <w:gridCol w:w="2145"/>
        <w:gridCol w:w="2146"/>
      </w:tblGrid>
      <w:tr>
        <w:trPr>
          <w:tblHeader w:val="true"/>
        </w:trPr>
        <w:tc>
          <w:tcPr>
            <w:tcW w:w="2146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测试项编号</w:t>
            </w:r>
          </w:p>
        </w:tc>
        <w:tc>
          <w:tcPr>
            <w:tcW w:w="214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测试项名称</w:t>
            </w:r>
          </w:p>
        </w:tc>
        <w:tc>
          <w:tcPr>
            <w:tcW w:w="2147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测试类型</w:t>
            </w:r>
          </w:p>
        </w:tc>
        <w:tc>
          <w:tcPr>
            <w:tcW w:w="214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对应功能点</w:t>
            </w:r>
          </w:p>
        </w:tc>
        <w:tc>
          <w:tcPr>
            <w:tcW w:w="2147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对应模块</w:t>
            </w:r>
          </w:p>
        </w:tc>
        <w:tc>
          <w:tcPr>
            <w:tcW w:w="214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优先级</w:t>
            </w:r>
          </w:p>
        </w:tc>
        <w:tc>
          <w:tcPr>
            <w:tcW w:w="2146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FT-01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登录与路由切换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功能测试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FP-01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FP-02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M-01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中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覆盖静态登录、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hash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路由和导航激活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FT-02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控制台概览展示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功能测试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FP-03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FP-04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M-02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中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覆盖健康状态、文档统计、最近文档与活动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FT-03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文档列表筛选与详情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功能测试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FP-05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FP-12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M-03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高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覆盖筛选、详情、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chunks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、引用统计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FT-04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文档上传入库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功能测试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FP-06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FP-07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FP-08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FP-09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M-03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M-04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高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覆盖支持格式、参数边界和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SQLite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写入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FT-05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RAG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检索与证据召回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功能测试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FP-10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FP-12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M-05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高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覆盖本地检索、可选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Weaviate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、引用定位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FT-06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通用智能问答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功能测试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FP-11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M-06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高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覆盖回答结构、引用、证据等级、错误展示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FT-07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培训模式生成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功能测试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FP-13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M-07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中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覆盖摘要、背景、术语、学习路径与引用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FT-08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交接模式生成与导出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功能测试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FP-14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FP-15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M-08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高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覆盖交接结构、待办、风险、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Markdown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导出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FT-09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设计辅助生成与图示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功能测试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FP-16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FP-17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FP-18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FP-19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FP-20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M-09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高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覆盖结构化设计、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schema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校验、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Mermaid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、导出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FT-10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历史产物与评审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功能测试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FP-21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FP-22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FP-23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M-10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中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覆盖产物保存、筛选、详情、删除和评审状态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FT-11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知识缺口汇总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功能测试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FP-24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M-11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中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覆盖缺口类型、严重度、关联文档和影响范围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FT-12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后台配置与联调诊断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功能测试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FP-25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FP-26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M-12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中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覆盖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public config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、连接测试、本地日志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IT-01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页面与静态资源接口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接口测试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I-01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I-02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M-01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高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覆盖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GET /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与静态资源路径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IT-02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健康检查与公共配置接口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接口测试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I-03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I-04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M-02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M-12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M-13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高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覆盖服务状态、配置字段与密钥脱敏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IT-03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知识库与文档管理接口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接口测试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I-05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至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I-13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M-03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M-04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高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覆盖集合、文档导入、详情、删除、原文定位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IT-04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场景、检索与聊天接口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接口测试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I-14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I-15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I-16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M-05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至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M-09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高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覆盖场景白名单、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query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校验、检索响应结构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IT-05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产物与知识缺口接口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接口测试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I-17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至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I-22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M-10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M-11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中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覆盖列表、保存、详情、删除、评审和缺口汇总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IT-06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文件、配置与持久化接口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接口测试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I-23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至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I-26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M-03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M-04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M-10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M-12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高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覆盖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uploads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.env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SQLite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localStorage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DEP-01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轻量部署启动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安装部署测试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FP-27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M-13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高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覆盖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deploy.ps1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8088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健康检查、日志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DEP-02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全栈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Docker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部署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安装部署测试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FP-28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M-13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高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覆盖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Docker Compose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Dify Web/API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Weaviate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dify-lite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DEP-03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全栈停止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安装部署测试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FP-29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M-13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中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覆盖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stop-all.ps1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、进程与容器停止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SEC-01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敏感配置保护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安全测试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F-17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M-12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M-13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高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覆盖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API Key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、示例密钥、前端返回脱敏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SEC-02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输入合法性与访问边界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安全测试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FP-06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FP-12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FP-25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M-01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M-03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M-12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高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覆盖登录演示边界、文件类型、路径访问、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CORS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PERF-01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导入、检索与生成性能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性能测试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FP-06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FP-10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FP-11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FP-16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M-04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至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M-09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中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具体指标以验收或课程要求为准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REG-01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主链路回归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回归测试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F-03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至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F-10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核心模块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高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覆盖上传、问答、引用、设计、历史、删除</w:t>
            </w:r>
          </w:p>
        </w:tc>
      </w:tr>
    </w:tbl>
    <w:p>
      <w:pPr>
        <w:pStyle w:val="Normal"/>
        <w:rPr/>
      </w:pPr>
      <w:r>
        <w:rPr>
          <w:rFonts w:ascii="Microsoft YaHei" w:hAnsi="Microsoft YaHei" w:eastAsia="Microsoft YaHei"/>
          <w:sz w:val="21"/>
        </w:rPr>
      </w:r>
    </w:p>
    <w:p>
      <w:pPr>
        <w:pStyle w:val="Heading2"/>
        <w:spacing w:before="80" w:after="100"/>
        <w:rPr/>
      </w:pPr>
      <w:bookmarkStart w:id="12" w:name="__RefHeading___Toc11288_3531209514"/>
      <w:bookmarkEnd w:id="12"/>
      <w:r>
        <w:rPr>
          <w:rFonts w:eastAsia="Microsoft YaHei" w:cs="Times New Roman" w:ascii="Microsoft YaHei" w:hAnsi="Microsoft YaHei"/>
          <w:b/>
          <w:sz w:val="28"/>
        </w:rPr>
        <w:t xml:space="preserve">3.2 </w:t>
      </w:r>
      <w:r>
        <w:rPr>
          <w:rFonts w:ascii="Microsoft YaHei" w:hAnsi="Microsoft YaHei" w:cs="Times New Roman" w:eastAsia="Microsoft YaHei"/>
          <w:b/>
          <w:sz w:val="28"/>
        </w:rPr>
        <w:t>功能测试项</w:t>
      </w:r>
    </w:p>
    <w:p>
      <w:pPr>
        <w:pStyle w:val="Normal"/>
        <w:spacing w:lineRule="auto" w:line="276" w:before="0" w:after="60"/>
        <w:jc w:val="center"/>
        <w:rPr/>
      </w:pPr>
      <w:r>
        <w:rPr>
          <w:rFonts w:ascii="Microsoft YaHei" w:hAnsi="Microsoft YaHei" w:cs="Times New Roman" w:eastAsia="Microsoft YaHei"/>
          <w:b/>
          <w:sz w:val="20"/>
        </w:rPr>
        <w:t xml:space="preserve">表 </w:t>
      </w:r>
      <w:r>
        <w:rPr>
          <w:rFonts w:eastAsia="Microsoft YaHei" w:cs="Times New Roman" w:ascii="Microsoft YaHei" w:hAnsi="Microsoft YaHei"/>
          <w:b/>
          <w:sz w:val="20"/>
        </w:rPr>
        <w:t xml:space="preserve">5 </w:t>
      </w:r>
      <w:r>
        <w:rPr>
          <w:rFonts w:ascii="Microsoft YaHei" w:hAnsi="Microsoft YaHei" w:cs="Times New Roman" w:eastAsia="Microsoft YaHei"/>
          <w:b/>
          <w:sz w:val="20"/>
        </w:rPr>
        <w:t>功能测试项表</w:t>
      </w:r>
    </w:p>
    <w:tbl>
      <w:tblPr>
        <w:tblStyle w:val="TableGrid"/>
        <w:tblW w:w="15022" w:type="dxa"/>
        <w:jc w:val="center"/>
        <w:tblInd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noHBand="0" w:noVBand="1" w:firstColumn="1" w:lastRow="0" w:lastColumn="0" w:firstRow="1"/>
      </w:tblPr>
      <w:tblGrid>
        <w:gridCol w:w="2146"/>
        <w:gridCol w:w="2145"/>
        <w:gridCol w:w="2147"/>
        <w:gridCol w:w="2145"/>
        <w:gridCol w:w="2147"/>
        <w:gridCol w:w="2145"/>
        <w:gridCol w:w="2146"/>
      </w:tblGrid>
      <w:tr>
        <w:trPr>
          <w:tblHeader w:val="true"/>
        </w:trPr>
        <w:tc>
          <w:tcPr>
            <w:tcW w:w="2146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3"/>
                <w:szCs w:val="22"/>
                <w:lang w:val="en-US" w:eastAsia="en-US" w:bidi="ar-SA"/>
              </w:rPr>
              <w:t>测试项编号</w:t>
            </w:r>
          </w:p>
        </w:tc>
        <w:tc>
          <w:tcPr>
            <w:tcW w:w="214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3"/>
                <w:szCs w:val="22"/>
                <w:lang w:val="en-US" w:eastAsia="en-US" w:bidi="ar-SA"/>
              </w:rPr>
              <w:t>功能点</w:t>
            </w:r>
          </w:p>
        </w:tc>
        <w:tc>
          <w:tcPr>
            <w:tcW w:w="2147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3"/>
                <w:szCs w:val="22"/>
                <w:lang w:val="en-US" w:eastAsia="en-US" w:bidi="ar-SA"/>
              </w:rPr>
              <w:t>测试目标</w:t>
            </w:r>
          </w:p>
        </w:tc>
        <w:tc>
          <w:tcPr>
            <w:tcW w:w="214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3"/>
                <w:szCs w:val="22"/>
                <w:lang w:val="en-US" w:eastAsia="en-US" w:bidi="ar-SA"/>
              </w:rPr>
              <w:t>输入</w:t>
            </w:r>
            <w:r>
              <w:rPr>
                <w:rFonts w:eastAsia="Microsoft YaHei" w:cs="Times New Roman" w:ascii="Microsoft YaHei" w:hAnsi="Microsoft YaHei"/>
                <w:b/>
                <w:kern w:val="0"/>
                <w:sz w:val="13"/>
                <w:szCs w:val="22"/>
                <w:lang w:val="en-US" w:eastAsia="en-US" w:bidi="ar-SA"/>
              </w:rPr>
              <w:t>/</w:t>
            </w:r>
            <w:r>
              <w:rPr>
                <w:rFonts w:ascii="Microsoft YaHei" w:hAnsi="Microsoft YaHei" w:cs="Times New Roman" w:eastAsia="Microsoft YaHei"/>
                <w:b/>
                <w:kern w:val="0"/>
                <w:sz w:val="13"/>
                <w:szCs w:val="22"/>
                <w:lang w:val="en-US" w:eastAsia="en-US" w:bidi="ar-SA"/>
              </w:rPr>
              <w:t>前置条件</w:t>
            </w:r>
          </w:p>
        </w:tc>
        <w:tc>
          <w:tcPr>
            <w:tcW w:w="2147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3"/>
                <w:szCs w:val="22"/>
                <w:lang w:val="en-US" w:eastAsia="en-US" w:bidi="ar-SA"/>
              </w:rPr>
              <w:t>测试方法</w:t>
            </w:r>
          </w:p>
        </w:tc>
        <w:tc>
          <w:tcPr>
            <w:tcW w:w="214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3"/>
                <w:szCs w:val="22"/>
                <w:lang w:val="en-US" w:eastAsia="en-US" w:bidi="ar-SA"/>
              </w:rPr>
              <w:t>预期结果</w:t>
            </w:r>
          </w:p>
        </w:tc>
        <w:tc>
          <w:tcPr>
            <w:tcW w:w="2146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3"/>
                <w:szCs w:val="22"/>
                <w:lang w:val="en-US" w:eastAsia="en-US" w:bidi="ar-SA"/>
              </w:rPr>
              <w:t>通过准则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FT-01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静态登录与路由切换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验证登录演示入口、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hash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路由、页面标题和导航状态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浏览器可访问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8088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；输入任意登录表单数据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手工界面测试结合浏览器开发者工具检查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hashchange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页面进入控制台，侧边导航与标题随路由切换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登录页不调用后端鉴权；路由切换后页面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DOM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与导航态一致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FT-02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控制台概览展示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验证系统状态、统计卡片、最近文档和活动展示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dify-lite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可访问；存在或不存在入库文档均需覆盖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进入控制台并观察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/api/health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/api/documents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调用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统计区域展示健康状态、文档数、知识库状态和最近活动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接口字段映射正确；空数据时页面有明确占位而非报错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FT-03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文档列表筛选与详情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验证文档管理页筛选、详情抽屉、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chunk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预览与引用统计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已导入至少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1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个支持格式文档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按关键词、类型、项目、上传者、状态组合筛选，打开详情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文档表格和详情区域按条件刷新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筛选条件生效；详情字段、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chunks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、引用统计与接口响应一致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FT-04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文档上传入库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验证支持格式文件上传、元数据提交、解析、切片、入库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准备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md/txt/docx/pptx/csv/json/html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示例文件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通过文档上传弹窗提交文件和参数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返回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document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collection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chunks_indexed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warnings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等结构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支持格式可入库；不支持格式和非法参数返回明确错误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FT-05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检索与证据召回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验证本地检索、可选向量检索、引用字段返回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已有入库文档；配置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DIFY_LITE_VECTOR_STORE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调用检索接口或通过问答场景触发检索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返回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hits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score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metadata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chunkId/documentId/sourceName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检索结果可追溯到文档与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chunk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；向量库不可用时有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warning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或降级说明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FT-06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通用智能问答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验证问答输入、结构化回答、引用证据和失败展示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至少存在一个项目或知识库文档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在问答页输入问题并发送；再发送空白问题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展示回答、引用卡片、证据等级、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pipeline trace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或错误提示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有效问题触发场景接口；空问题不发起生成；错误不导致页面异常退出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FT-07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培训模式生成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验证新人培训场景输出结构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已有项目文档；选择主题或快捷问题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在培训页触发生成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展示摘要、背景、术语、学习路径、推荐资料、引用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字段可读且引用可追溯；无文档时提示先导入资料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FT-08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交接模式生成与导出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验证交接材料结构和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Markdown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导出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已有项目文档；交接页可访问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输入交接问题，触发生成，执行复制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/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导出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展示背景、进度、待办、风险、角色、依赖文档、信息缺口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导出内容包含主要结构化字段；生成失败时页面提示明确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FT-09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设计辅助生成与图示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验证设计结果结构、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schema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修复、图示和导出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已有需求或模块文档；模型服务配置可用或降级可观察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输入设计目标，切换各结果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tab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，复制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/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导出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展示业务对象、规则、功能、用例、模块、数据权限、追踪、图示、风险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结构化字段完整；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Mermaid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渲染失败时保留源码，不阻塞其他结果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FT-10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历史产物与评审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验证产物保存、列表筛选、详情、删除和评审状态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已生成问答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/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设计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/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交接结果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进入历史页筛选，打开详情，执行删除或评审更新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历史列表展示与筛选条件匹配；详情展示结构化输出和引用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后端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artifacts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与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localStorage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回退边界清晰；不存在记录时提示明确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FT-11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知识缺口汇总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验证知识缺口页从历史产物聚合缺口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存在带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missing_information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或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qualityAssessment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的产物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进入知识缺口页观察统计和列表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展示缺口类型、严重度、关联文档和影响范围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无历史产物时显示空态；缺口条目字段完整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FT-12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后台配置与联调诊断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验证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public config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展示、连接测试和本地日志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dify-lite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运行和停止两种状态均覆盖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进入设置页，读取配置，执行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workflow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连接测试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展示检索参数、模型参数、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Workflow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映射、测试日志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不返回密钥明文；连接成功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/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失败均有可读日志</w:t>
            </w:r>
          </w:p>
        </w:tc>
      </w:tr>
    </w:tbl>
    <w:p>
      <w:pPr>
        <w:pStyle w:val="Normal"/>
        <w:rPr/>
      </w:pPr>
      <w:r>
        <w:rPr>
          <w:rFonts w:ascii="Microsoft YaHei" w:hAnsi="Microsoft YaHei" w:eastAsia="Microsoft YaHei"/>
          <w:sz w:val="21"/>
        </w:rPr>
      </w:r>
    </w:p>
    <w:p>
      <w:pPr>
        <w:pStyle w:val="Heading2"/>
        <w:spacing w:before="80" w:after="100"/>
        <w:rPr/>
      </w:pPr>
      <w:bookmarkStart w:id="13" w:name="__RefHeading___Toc11290_3531209514"/>
      <w:bookmarkEnd w:id="13"/>
      <w:r>
        <w:rPr>
          <w:rFonts w:eastAsia="Microsoft YaHei" w:cs="Times New Roman" w:ascii="Microsoft YaHei" w:hAnsi="Microsoft YaHei"/>
          <w:b/>
          <w:sz w:val="28"/>
        </w:rPr>
        <w:t xml:space="preserve">3.3 </w:t>
      </w:r>
      <w:r>
        <w:rPr>
          <w:rFonts w:ascii="Microsoft YaHei" w:hAnsi="Microsoft YaHei" w:cs="Times New Roman" w:eastAsia="Microsoft YaHei"/>
          <w:b/>
          <w:sz w:val="28"/>
        </w:rPr>
        <w:t>接口测试项</w:t>
      </w:r>
    </w:p>
    <w:p>
      <w:pPr>
        <w:pStyle w:val="Normal"/>
        <w:spacing w:lineRule="auto" w:line="276" w:before="0" w:after="60"/>
        <w:jc w:val="center"/>
        <w:rPr/>
      </w:pPr>
      <w:r>
        <w:rPr>
          <w:rFonts w:ascii="Microsoft YaHei" w:hAnsi="Microsoft YaHei" w:cs="Times New Roman" w:eastAsia="Microsoft YaHei"/>
          <w:b/>
          <w:sz w:val="20"/>
        </w:rPr>
        <w:t xml:space="preserve">表 </w:t>
      </w:r>
      <w:r>
        <w:rPr>
          <w:rFonts w:eastAsia="Microsoft YaHei" w:cs="Times New Roman" w:ascii="Microsoft YaHei" w:hAnsi="Microsoft YaHei"/>
          <w:b/>
          <w:sz w:val="20"/>
        </w:rPr>
        <w:t xml:space="preserve">6 </w:t>
      </w:r>
      <w:r>
        <w:rPr>
          <w:rFonts w:ascii="Microsoft YaHei" w:hAnsi="Microsoft YaHei" w:cs="Times New Roman" w:eastAsia="Microsoft YaHei"/>
          <w:b/>
          <w:sz w:val="20"/>
        </w:rPr>
        <w:t>接口测试项表</w:t>
      </w:r>
    </w:p>
    <w:tbl>
      <w:tblPr>
        <w:tblStyle w:val="TableGrid"/>
        <w:tblW w:w="15024" w:type="dxa"/>
        <w:jc w:val="center"/>
        <w:tblInd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noHBand="0" w:noVBand="1" w:firstColumn="1" w:lastRow="0" w:lastColumn="0" w:firstRow="1"/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6"/>
      </w:tblGrid>
      <w:tr>
        <w:trPr>
          <w:tblHeader w:val="true"/>
        </w:trPr>
        <w:tc>
          <w:tcPr>
            <w:tcW w:w="1878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3"/>
                <w:szCs w:val="22"/>
                <w:lang w:val="en-US" w:eastAsia="en-US" w:bidi="ar-SA"/>
              </w:rPr>
              <w:t>测试项编号</w:t>
            </w:r>
          </w:p>
        </w:tc>
        <w:tc>
          <w:tcPr>
            <w:tcW w:w="1878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3"/>
                <w:szCs w:val="22"/>
                <w:lang w:val="en-US" w:eastAsia="en-US" w:bidi="ar-SA"/>
              </w:rPr>
              <w:t>接口名称</w:t>
            </w:r>
          </w:p>
        </w:tc>
        <w:tc>
          <w:tcPr>
            <w:tcW w:w="1878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3"/>
                <w:szCs w:val="22"/>
                <w:lang w:val="en-US" w:eastAsia="en-US" w:bidi="ar-SA"/>
              </w:rPr>
              <w:t>接口路径</w:t>
            </w:r>
            <w:r>
              <w:rPr>
                <w:rFonts w:eastAsia="Microsoft YaHei" w:cs="Times New Roman" w:ascii="Microsoft YaHei" w:hAnsi="Microsoft YaHei"/>
                <w:b/>
                <w:kern w:val="0"/>
                <w:sz w:val="13"/>
                <w:szCs w:val="22"/>
                <w:lang w:val="en-US" w:eastAsia="en-US" w:bidi="ar-SA"/>
              </w:rPr>
              <w:t>/</w:t>
            </w:r>
            <w:r>
              <w:rPr>
                <w:rFonts w:ascii="Microsoft YaHei" w:hAnsi="Microsoft YaHei" w:cs="Times New Roman" w:eastAsia="Microsoft YaHei"/>
                <w:b/>
                <w:kern w:val="0"/>
                <w:sz w:val="13"/>
                <w:szCs w:val="22"/>
                <w:lang w:val="en-US" w:eastAsia="en-US" w:bidi="ar-SA"/>
              </w:rPr>
              <w:t>入口</w:t>
            </w:r>
          </w:p>
        </w:tc>
        <w:tc>
          <w:tcPr>
            <w:tcW w:w="1878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3"/>
                <w:szCs w:val="22"/>
                <w:lang w:val="en-US" w:eastAsia="en-US" w:bidi="ar-SA"/>
              </w:rPr>
              <w:t>测试目标</w:t>
            </w:r>
          </w:p>
        </w:tc>
        <w:tc>
          <w:tcPr>
            <w:tcW w:w="1878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3"/>
                <w:szCs w:val="22"/>
                <w:lang w:val="en-US" w:eastAsia="en-US" w:bidi="ar-SA"/>
              </w:rPr>
              <w:t>输入数据</w:t>
            </w:r>
          </w:p>
        </w:tc>
        <w:tc>
          <w:tcPr>
            <w:tcW w:w="1878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3"/>
                <w:szCs w:val="22"/>
                <w:lang w:val="en-US" w:eastAsia="en-US" w:bidi="ar-SA"/>
              </w:rPr>
              <w:t>预期输出</w:t>
            </w:r>
          </w:p>
        </w:tc>
        <w:tc>
          <w:tcPr>
            <w:tcW w:w="1878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3"/>
                <w:szCs w:val="22"/>
                <w:lang w:val="en-US" w:eastAsia="en-US" w:bidi="ar-SA"/>
              </w:rPr>
              <w:t>异常场景</w:t>
            </w:r>
          </w:p>
        </w:tc>
        <w:tc>
          <w:tcPr>
            <w:tcW w:w="1876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3"/>
                <w:szCs w:val="22"/>
                <w:lang w:val="en-US" w:eastAsia="en-US" w:bidi="ar-SA"/>
              </w:rPr>
              <w:t>通过准则</w:t>
            </w:r>
          </w:p>
        </w:tc>
      </w:tr>
      <w:tr>
        <w:trPr/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IT-01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前端页面与静态资源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GET /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；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GET /&lt;path:asset_path&gt;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验证页面和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JS/CSS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资源返回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无；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asset_path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返回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index.html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JS/CSS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或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404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路径不存在、疑似路径穿越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页面资源可加载；非法路径不暴露任意文件</w:t>
            </w:r>
          </w:p>
        </w:tc>
      </w:tr>
      <w:tr>
        <w:trPr/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IT-02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健康检查与公共配置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GET /api/health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；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GET /api/config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验证服务状态、集合数、文档数、公开配置字段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无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status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service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collections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documents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app_name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embedding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vector_store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等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服务未启动、配置缺省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返回字段完整；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API Key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不出现在响应或前端源码中</w:t>
            </w:r>
          </w:p>
        </w:tc>
      </w:tr>
      <w:tr>
        <w:trPr/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IT-03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知识库集合接口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GET /api/collections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；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POST /api/collections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验证集合列表和创建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name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items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或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collection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，创建成功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201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name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为空、重复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name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必要参数校验生效；重复集合处理符合接口约定</w:t>
            </w:r>
          </w:p>
        </w:tc>
      </w:tr>
      <w:tr>
        <w:trPr/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IT-04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文档导入与管理接口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GET /api/documents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；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POST /api/documents/import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；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DELETE /api/documents/{id}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验证文档列表、导入、删除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collection_id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file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title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type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project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chunk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参数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items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document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chunks_indexed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success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空文件、不支持格式、非法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chunk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、无效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document_id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2xx/4xx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响应与约定一致；删除同步处理有明确边界</w:t>
            </w:r>
          </w:p>
        </w:tc>
      </w:tr>
      <w:tr>
        <w:trPr/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IT-05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文档详情、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chunks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、引用统计、原文接口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GET /api/documents/{id}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；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GET /chunks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；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GET /references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；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GET /api/documents/source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验证原文追溯和文档详情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document_id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chunk_id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source_name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limit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document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chunk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content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items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references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参数缺失、文档不存在、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chunk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不存在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能从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citation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定位到原文；不存在对象返回明确错误</w:t>
            </w:r>
          </w:p>
        </w:tc>
      </w:tr>
      <w:tr>
        <w:trPr/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IT-06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场景运行接口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POST /api/scenes/{scene}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验证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general/training/handover/design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场景入口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scene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query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project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collection_id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focus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role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module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场景结构化结果、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citations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validator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missing_information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query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为空、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scene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不支持、项目无文档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只接受白名单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scene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；错误响应不包含敏感信息</w:t>
            </w:r>
          </w:p>
        </w:tc>
      </w:tr>
      <w:tr>
        <w:trPr/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IT-07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检索与聊天兼容接口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POST /api/retrieval/query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；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POST /api/chat/completions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验证检索响应和兼容聊天调用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collection_id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query/queries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top_k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history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model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scene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context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hits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warning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answer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citations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pipeline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collection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不存在、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top_k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边界、模型失败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检索结果结构稳定；模型失败时错误可定位且不泄露密钥</w:t>
            </w:r>
          </w:p>
        </w:tc>
      </w:tr>
      <w:tr>
        <w:trPr/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IT-08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产物与知识缺口接口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GET/POST /api/artifacts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；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GET/DELETE/PATCH /api/artifacts/{id}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；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GET /api/knowledge-gaps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验证历史产物和知识缺口数据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scene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project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keyword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artifact payload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reviewStatus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humanNotes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items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artifact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summary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gap items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artifact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不存在、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JSON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字段异常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筛选、保存、详情、删除、评审和缺口汇总字段一致</w:t>
            </w:r>
          </w:p>
        </w:tc>
      </w:tr>
      <w:tr>
        <w:trPr/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IT-09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文件、配置、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SQLite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与本地持久化接口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uploads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目录；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.env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；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SQLite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；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localStorage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验证非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HTTP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入口的数据读写边界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上传文件、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DIFY_LITE_*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SQL CRUD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superrag_real_history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保存文件、配置读取、业务表、浏览器历史记录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文件名特殊字符、路径权限、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JSON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损坏、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localStorage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清理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文件安全、配置缺省、表结构和本地回退行为符合设计</w:t>
            </w:r>
          </w:p>
        </w:tc>
      </w:tr>
    </w:tbl>
    <w:p>
      <w:pPr>
        <w:pStyle w:val="Normal"/>
        <w:rPr/>
      </w:pPr>
      <w:r>
        <w:rPr>
          <w:rFonts w:ascii="Microsoft YaHei" w:hAnsi="Microsoft YaHei" w:eastAsia="Microsoft YaHei"/>
          <w:sz w:val="21"/>
        </w:rPr>
      </w:r>
    </w:p>
    <w:p>
      <w:pPr>
        <w:pStyle w:val="Heading2"/>
        <w:spacing w:before="80" w:after="100"/>
        <w:rPr/>
      </w:pPr>
      <w:bookmarkStart w:id="14" w:name="__RefHeading___Toc11292_3531209514"/>
      <w:bookmarkEnd w:id="14"/>
      <w:r>
        <w:rPr>
          <w:rFonts w:eastAsia="Microsoft YaHei" w:cs="Times New Roman" w:ascii="Microsoft YaHei" w:hAnsi="Microsoft YaHei"/>
          <w:b/>
          <w:sz w:val="28"/>
        </w:rPr>
        <w:t xml:space="preserve">3.4 </w:t>
      </w:r>
      <w:r>
        <w:rPr>
          <w:rFonts w:ascii="Microsoft YaHei" w:hAnsi="Microsoft YaHei" w:cs="Times New Roman" w:eastAsia="Microsoft YaHei"/>
          <w:b/>
          <w:sz w:val="28"/>
        </w:rPr>
        <w:t>界面测试项</w:t>
      </w:r>
    </w:p>
    <w:p>
      <w:pPr>
        <w:pStyle w:val="Normal"/>
        <w:spacing w:lineRule="auto" w:line="276" w:before="0" w:after="60"/>
        <w:jc w:val="center"/>
        <w:rPr/>
      </w:pPr>
      <w:r>
        <w:rPr>
          <w:rFonts w:ascii="Microsoft YaHei" w:hAnsi="Microsoft YaHei" w:cs="Times New Roman" w:eastAsia="Microsoft YaHei"/>
          <w:b/>
          <w:sz w:val="20"/>
        </w:rPr>
        <w:t xml:space="preserve">表 </w:t>
      </w:r>
      <w:r>
        <w:rPr>
          <w:rFonts w:eastAsia="Microsoft YaHei" w:cs="Times New Roman" w:ascii="Microsoft YaHei" w:hAnsi="Microsoft YaHei"/>
          <w:b/>
          <w:sz w:val="20"/>
        </w:rPr>
        <w:t xml:space="preserve">7 </w:t>
      </w:r>
      <w:r>
        <w:rPr>
          <w:rFonts w:ascii="Microsoft YaHei" w:hAnsi="Microsoft YaHei" w:cs="Times New Roman" w:eastAsia="Microsoft YaHei"/>
          <w:b/>
          <w:sz w:val="20"/>
        </w:rPr>
        <w:t>界面测试项表</w:t>
      </w:r>
    </w:p>
    <w:tbl>
      <w:tblPr>
        <w:tblStyle w:val="TableGrid"/>
        <w:tblW w:w="15022" w:type="dxa"/>
        <w:jc w:val="center"/>
        <w:tblInd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noHBand="0" w:noVBand="1" w:firstColumn="1" w:lastRow="0" w:lastColumn="0" w:firstRow="1"/>
      </w:tblPr>
      <w:tblGrid>
        <w:gridCol w:w="2146"/>
        <w:gridCol w:w="2145"/>
        <w:gridCol w:w="2147"/>
        <w:gridCol w:w="2145"/>
        <w:gridCol w:w="2147"/>
        <w:gridCol w:w="2145"/>
        <w:gridCol w:w="2146"/>
      </w:tblGrid>
      <w:tr>
        <w:trPr>
          <w:tblHeader w:val="true"/>
        </w:trPr>
        <w:tc>
          <w:tcPr>
            <w:tcW w:w="2146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3"/>
                <w:szCs w:val="22"/>
                <w:lang w:val="en-US" w:eastAsia="en-US" w:bidi="ar-SA"/>
              </w:rPr>
              <w:t>测试项编号</w:t>
            </w:r>
          </w:p>
        </w:tc>
        <w:tc>
          <w:tcPr>
            <w:tcW w:w="214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3"/>
                <w:szCs w:val="22"/>
                <w:lang w:val="en-US" w:eastAsia="en-US" w:bidi="ar-SA"/>
              </w:rPr>
              <w:t>页面</w:t>
            </w:r>
            <w:r>
              <w:rPr>
                <w:rFonts w:eastAsia="Microsoft YaHei" w:cs="Times New Roman" w:ascii="Microsoft YaHei" w:hAnsi="Microsoft YaHei"/>
                <w:b/>
                <w:kern w:val="0"/>
                <w:sz w:val="13"/>
                <w:szCs w:val="22"/>
                <w:lang w:val="en-US" w:eastAsia="en-US" w:bidi="ar-SA"/>
              </w:rPr>
              <w:t>/</w:t>
            </w:r>
            <w:r>
              <w:rPr>
                <w:rFonts w:ascii="Microsoft YaHei" w:hAnsi="Microsoft YaHei" w:cs="Times New Roman" w:eastAsia="Microsoft YaHei"/>
                <w:b/>
                <w:kern w:val="0"/>
                <w:sz w:val="13"/>
                <w:szCs w:val="22"/>
                <w:lang w:val="en-US" w:eastAsia="en-US" w:bidi="ar-SA"/>
              </w:rPr>
              <w:t>界面</w:t>
            </w:r>
          </w:p>
        </w:tc>
        <w:tc>
          <w:tcPr>
            <w:tcW w:w="2147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3"/>
                <w:szCs w:val="22"/>
                <w:lang w:val="en-US" w:eastAsia="en-US" w:bidi="ar-SA"/>
              </w:rPr>
              <w:t>测试目标</w:t>
            </w:r>
          </w:p>
        </w:tc>
        <w:tc>
          <w:tcPr>
            <w:tcW w:w="214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3"/>
                <w:szCs w:val="22"/>
                <w:lang w:val="en-US" w:eastAsia="en-US" w:bidi="ar-SA"/>
              </w:rPr>
              <w:t>操作步骤概述</w:t>
            </w:r>
          </w:p>
        </w:tc>
        <w:tc>
          <w:tcPr>
            <w:tcW w:w="2147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3"/>
                <w:szCs w:val="22"/>
                <w:lang w:val="en-US" w:eastAsia="en-US" w:bidi="ar-SA"/>
              </w:rPr>
              <w:t>预期显示</w:t>
            </w:r>
          </w:p>
        </w:tc>
        <w:tc>
          <w:tcPr>
            <w:tcW w:w="214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3"/>
                <w:szCs w:val="22"/>
                <w:lang w:val="en-US" w:eastAsia="en-US" w:bidi="ar-SA"/>
              </w:rPr>
              <w:t>异常提示</w:t>
            </w:r>
          </w:p>
        </w:tc>
        <w:tc>
          <w:tcPr>
            <w:tcW w:w="2146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3"/>
                <w:szCs w:val="22"/>
                <w:lang w:val="en-US" w:eastAsia="en-US" w:bidi="ar-SA"/>
              </w:rPr>
              <w:t>通过准则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UI-01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登录页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验证登录表单、隐私提示和跳转控制台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输入用户名、密码，勾选记住登录，提交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显示系统名称和登录说明，提交后进入控制台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找回密码等占位操作有提示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静态登录边界明确，不描述为真实鉴权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UI-02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首页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/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控制台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验证统计卡片、最近会话、最近文档、知识库状态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进入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/dashboard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，观察后端在线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/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离线两种状态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展示系统状态、文档数、知识库数、活动列表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接口失败时显示占位或回退数据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页面不出现空白崩溃，统计口径可解释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UI-03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文档管理页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验证上传弹窗、筛选表单、表格、详情抽屉、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RAG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流程展示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选择文件，填写元数据，筛选文档，打开详情，删除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展示文档表格、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chunk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预览、质量检查、引用统计、入库日志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上传失败、格式不支持、详情缺失有提示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主流程入口完整，失败反馈清晰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UI-04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智能问答页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验证会话列表、知识库选择、问题输入、回答和引用卡片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输入问题、选择项目和回答模式、点击引用查看原文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展示问答气泡、结构化回答、证据等级、引用卡片、原文弹窗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空问题、后端失败、引用源缺失有提示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引用卡片能触发原文查看或明确告知无法定位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UI-05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培训模式页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验证培训输出区域和快捷问题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选择主题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/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项目，点击生成或快捷问题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展示摘要、背景、术语、学习路径、推荐资料、引用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项目无文档或接口失败时提示明确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生成按钮状态、加载态和错误态可识别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UI-06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交接模式页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验证交接输出、风险表、待办和导出按钮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输入交接问题，点击生成、复制、导出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展示交接摘要、进度、风险、待办、角色边界、依赖文档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无结果时复制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/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导出不可误导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导出前后页面状态不丢失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UI-07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设计辅助页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验证设计目标输入、多标签展示、图示渲染和导出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输入设计目标，切换业务分析、功能、用例、模块、数据权限、追踪、图示等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tab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展示结构化设计结果、质量检查、引用、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Mermaid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图示或源码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Mermaid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失败、模型输出不规范时有降级展示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各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tab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可切换，结构化字段不互相覆盖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UI-08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知识缺口页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验证缺口统计和列表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进入页面，检查无历史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/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有历史两种状态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展示缺口统计、缺口表、示例列表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无数据时显示空态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严重度、关联文档和影响范围展示一致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UI-09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历史记录页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验证筛选、详情、复制、删除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按日期、场景、项目、创建者、关键词筛选，打开详情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展示历史列表、详情、引用和结构化输出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详情不存在、后端失败、本地记录缺失有提示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后端与本地记录合并去重逻辑可观察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UI-10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后台配置页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验证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Workflow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映射、检索参数、模型参数和运行日志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修改本地设置、点击保存和连接测试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展示配置表单、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Workflow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表、日志表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连接失败时记录错误原因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保存为本地状态的边界明确，不误写为后端持久化</w:t>
            </w:r>
          </w:p>
        </w:tc>
      </w:tr>
    </w:tbl>
    <w:p>
      <w:pPr>
        <w:pStyle w:val="Normal"/>
        <w:rPr/>
      </w:pPr>
      <w:r>
        <w:rPr>
          <w:rFonts w:ascii="Microsoft YaHei" w:hAnsi="Microsoft YaHei" w:eastAsia="Microsoft YaHei"/>
          <w:sz w:val="21"/>
        </w:rPr>
      </w:r>
    </w:p>
    <w:p>
      <w:pPr>
        <w:pStyle w:val="Heading2"/>
        <w:spacing w:before="80" w:after="100"/>
        <w:rPr/>
      </w:pPr>
      <w:bookmarkStart w:id="15" w:name="__RefHeading___Toc11294_3531209514"/>
      <w:bookmarkEnd w:id="15"/>
      <w:r>
        <w:rPr>
          <w:rFonts w:eastAsia="Microsoft YaHei" w:cs="Times New Roman" w:ascii="Microsoft YaHei" w:hAnsi="Microsoft YaHei"/>
          <w:b/>
          <w:sz w:val="28"/>
        </w:rPr>
        <w:t xml:space="preserve">3.5 </w:t>
      </w:r>
      <w:r>
        <w:rPr>
          <w:rFonts w:ascii="Microsoft YaHei" w:hAnsi="Microsoft YaHei" w:cs="Times New Roman" w:eastAsia="Microsoft YaHei"/>
          <w:b/>
          <w:sz w:val="28"/>
        </w:rPr>
        <w:t>数据与配置测试项</w:t>
      </w:r>
    </w:p>
    <w:p>
      <w:pPr>
        <w:pStyle w:val="Normal"/>
        <w:spacing w:lineRule="auto" w:line="276" w:before="0" w:after="60"/>
        <w:jc w:val="center"/>
        <w:rPr/>
      </w:pPr>
      <w:r>
        <w:rPr>
          <w:rFonts w:ascii="Microsoft YaHei" w:hAnsi="Microsoft YaHei" w:cs="Times New Roman" w:eastAsia="Microsoft YaHei"/>
          <w:b/>
          <w:sz w:val="20"/>
        </w:rPr>
        <w:t xml:space="preserve">表 </w:t>
      </w:r>
      <w:r>
        <w:rPr>
          <w:rFonts w:eastAsia="Microsoft YaHei" w:cs="Times New Roman" w:ascii="Microsoft YaHei" w:hAnsi="Microsoft YaHei"/>
          <w:b/>
          <w:sz w:val="20"/>
        </w:rPr>
        <w:t xml:space="preserve">8 </w:t>
      </w:r>
      <w:r>
        <w:rPr>
          <w:rFonts w:ascii="Microsoft YaHei" w:hAnsi="Microsoft YaHei" w:cs="Times New Roman" w:eastAsia="Microsoft YaHei"/>
          <w:b/>
          <w:sz w:val="20"/>
        </w:rPr>
        <w:t>数据与配置测试项表</w:t>
      </w:r>
    </w:p>
    <w:tbl>
      <w:tblPr>
        <w:tblStyle w:val="TableGrid"/>
        <w:tblW w:w="15024" w:type="dxa"/>
        <w:jc w:val="center"/>
        <w:tblInd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noHBand="0" w:noVBand="1" w:firstColumn="1" w:lastRow="0" w:lastColumn="0" w:firstRow="1"/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6"/>
      </w:tblGrid>
      <w:tr>
        <w:trPr>
          <w:tblHeader w:val="true"/>
        </w:trPr>
        <w:tc>
          <w:tcPr>
            <w:tcW w:w="1878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3"/>
                <w:szCs w:val="22"/>
                <w:lang w:val="en-US" w:eastAsia="en-US" w:bidi="ar-SA"/>
              </w:rPr>
              <w:t>测试项编号</w:t>
            </w:r>
          </w:p>
        </w:tc>
        <w:tc>
          <w:tcPr>
            <w:tcW w:w="1878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3"/>
                <w:szCs w:val="22"/>
                <w:lang w:val="en-US" w:eastAsia="en-US" w:bidi="ar-SA"/>
              </w:rPr>
              <w:t>数据</w:t>
            </w:r>
            <w:r>
              <w:rPr>
                <w:rFonts w:eastAsia="Microsoft YaHei" w:cs="Times New Roman" w:ascii="Microsoft YaHei" w:hAnsi="Microsoft YaHei"/>
                <w:b/>
                <w:kern w:val="0"/>
                <w:sz w:val="13"/>
                <w:szCs w:val="22"/>
                <w:lang w:val="en-US" w:eastAsia="en-US" w:bidi="ar-SA"/>
              </w:rPr>
              <w:t>/</w:t>
            </w:r>
            <w:r>
              <w:rPr>
                <w:rFonts w:ascii="Microsoft YaHei" w:hAnsi="Microsoft YaHei" w:cs="Times New Roman" w:eastAsia="Microsoft YaHei"/>
                <w:b/>
                <w:kern w:val="0"/>
                <w:sz w:val="13"/>
                <w:szCs w:val="22"/>
                <w:lang w:val="en-US" w:eastAsia="en-US" w:bidi="ar-SA"/>
              </w:rPr>
              <w:t>配置对象</w:t>
            </w:r>
          </w:p>
        </w:tc>
        <w:tc>
          <w:tcPr>
            <w:tcW w:w="1878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3"/>
                <w:szCs w:val="22"/>
                <w:lang w:val="en-US" w:eastAsia="en-US" w:bidi="ar-SA"/>
              </w:rPr>
              <w:t>测试目标</w:t>
            </w:r>
          </w:p>
        </w:tc>
        <w:tc>
          <w:tcPr>
            <w:tcW w:w="1878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3"/>
                <w:szCs w:val="22"/>
                <w:lang w:val="en-US" w:eastAsia="en-US" w:bidi="ar-SA"/>
              </w:rPr>
              <w:t>测试入口</w:t>
            </w:r>
          </w:p>
        </w:tc>
        <w:tc>
          <w:tcPr>
            <w:tcW w:w="1878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3"/>
                <w:szCs w:val="22"/>
                <w:lang w:val="en-US" w:eastAsia="en-US" w:bidi="ar-SA"/>
              </w:rPr>
              <w:t>测试方法</w:t>
            </w:r>
          </w:p>
        </w:tc>
        <w:tc>
          <w:tcPr>
            <w:tcW w:w="1878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3"/>
                <w:szCs w:val="22"/>
                <w:lang w:val="en-US" w:eastAsia="en-US" w:bidi="ar-SA"/>
              </w:rPr>
              <w:t>预期结果</w:t>
            </w:r>
          </w:p>
        </w:tc>
        <w:tc>
          <w:tcPr>
            <w:tcW w:w="1878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3"/>
                <w:szCs w:val="22"/>
                <w:lang w:val="en-US" w:eastAsia="en-US" w:bidi="ar-SA"/>
              </w:rPr>
              <w:t>异常场景</w:t>
            </w:r>
          </w:p>
        </w:tc>
        <w:tc>
          <w:tcPr>
            <w:tcW w:w="1876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3"/>
                <w:szCs w:val="22"/>
                <w:lang w:val="en-US" w:eastAsia="en-US" w:bidi="ar-SA"/>
              </w:rPr>
              <w:t>通过准则</w:t>
            </w:r>
          </w:p>
        </w:tc>
      </w:tr>
      <w:tr>
        <w:trPr/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DT-01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环境配置加载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验证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.env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中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DIFY_LITE_*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配置读取、缺省值和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public config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输出</w:t>
            </w:r>
          </w:p>
        </w:tc>
        <w:tc>
          <w:tcPr>
            <w:tcW w:w="1878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SuperRAG/dify-lite/.env；/api/config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修改测试副本或使用示例配置启动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配置字段按预期加载，密钥不外泄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配置缺失、类型错误、端口冲突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公开配置字段完整，敏感字段脱敏或不返回</w:t>
            </w:r>
          </w:p>
        </w:tc>
      </w:tr>
      <w:tr>
        <w:trPr/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DT-02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SQLite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业务表结构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验证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collections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documents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chunks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artifacts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表读写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dify_lite.db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执行上传、生成、保存、删除流程后检查数据对象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业务对象字段与设计一致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JSON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字段损坏、重复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name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、删除级联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表结构、主键、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JSON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编解码符合设计说明</w:t>
            </w:r>
          </w:p>
        </w:tc>
      </w:tr>
      <w:tr>
        <w:trPr/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DT-03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上传文件目录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验证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uploads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文件保存、文件名安全和删除同步</w:t>
            </w:r>
          </w:p>
        </w:tc>
        <w:tc>
          <w:tcPr>
            <w:tcW w:w="1878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SuperRAG/dify-lite/data/uploads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上传中文名、重复名、特殊字符名文件并执行删除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保存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uuid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前缀文件，删除时处理原文文件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文件名为空、非法后缀、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unlink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失败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不暴露任意路径；删除边界有记录</w:t>
            </w:r>
          </w:p>
        </w:tc>
      </w:tr>
      <w:tr>
        <w:trPr/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DT-04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前端本地历史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验证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localStorage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键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superrag_real_history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的保存、筛选和去重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浏览器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localStorage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生成场景结果、刷新页面、更换筛选条件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历史记录可读取和展示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清理浏览器缓存、数据格式异常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前端本地持久化边界明确，容量限制按实现执行</w:t>
            </w:r>
          </w:p>
        </w:tc>
      </w:tr>
      <w:tr>
        <w:trPr/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DT-05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Dify Docker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与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Sandbox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配置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验证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docker-compose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.env.example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sandbox config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的端口和依赖配置</w:t>
            </w:r>
          </w:p>
        </w:tc>
        <w:tc>
          <w:tcPr>
            <w:tcW w:w="1878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SuperRAG/dify/docker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执行配置检查和全栈启动前置检查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端口、镜像、卷、依赖服务配置一致</w:t>
            </w:r>
          </w:p>
        </w:tc>
        <w:tc>
          <w:tcPr>
            <w:tcW w:w="187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示例密钥未替换、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 xml:space="preserve">Docker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不可用、端口冲突</w:t>
            </w:r>
          </w:p>
        </w:tc>
        <w:tc>
          <w:tcPr>
            <w:tcW w:w="18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3"/>
                <w:szCs w:val="22"/>
                <w:lang w:val="en-US" w:eastAsia="en-US" w:bidi="ar-SA"/>
              </w:rPr>
              <w:t>全栈部署测试前配置状态可确认</w:t>
            </w:r>
          </w:p>
        </w:tc>
      </w:tr>
    </w:tbl>
    <w:p>
      <w:pPr>
        <w:pStyle w:val="Normal"/>
        <w:rPr/>
      </w:pPr>
      <w:r>
        <w:rPr>
          <w:rFonts w:ascii="Microsoft YaHei" w:hAnsi="Microsoft YaHei" w:eastAsia="Microsoft YaHei"/>
          <w:sz w:val="21"/>
        </w:rPr>
      </w:r>
    </w:p>
    <w:p>
      <w:pPr>
        <w:pStyle w:val="Heading2"/>
        <w:spacing w:before="80" w:after="100"/>
        <w:rPr/>
      </w:pPr>
      <w:bookmarkStart w:id="16" w:name="__RefHeading___Toc11296_3531209514"/>
      <w:bookmarkEnd w:id="16"/>
      <w:r>
        <w:rPr>
          <w:rFonts w:eastAsia="Microsoft YaHei" w:cs="Times New Roman" w:ascii="Microsoft YaHei" w:hAnsi="Microsoft YaHei"/>
          <w:b/>
          <w:sz w:val="28"/>
        </w:rPr>
        <w:t xml:space="preserve">3.6 </w:t>
      </w:r>
      <w:r>
        <w:rPr>
          <w:rFonts w:ascii="Microsoft YaHei" w:hAnsi="Microsoft YaHei" w:cs="Times New Roman" w:eastAsia="Microsoft YaHei"/>
          <w:b/>
          <w:sz w:val="28"/>
        </w:rPr>
        <w:t>安装部署测试项</w:t>
      </w:r>
    </w:p>
    <w:p>
      <w:pPr>
        <w:pStyle w:val="Normal"/>
        <w:spacing w:lineRule="auto" w:line="276" w:before="0" w:after="60"/>
        <w:jc w:val="center"/>
        <w:rPr/>
      </w:pPr>
      <w:r>
        <w:rPr>
          <w:rFonts w:ascii="Microsoft YaHei" w:hAnsi="Microsoft YaHei" w:cs="Times New Roman" w:eastAsia="Microsoft YaHei"/>
          <w:b/>
          <w:sz w:val="20"/>
        </w:rPr>
        <w:t xml:space="preserve">表 </w:t>
      </w:r>
      <w:r>
        <w:rPr>
          <w:rFonts w:eastAsia="Microsoft YaHei" w:cs="Times New Roman" w:ascii="Microsoft YaHei" w:hAnsi="Microsoft YaHei"/>
          <w:b/>
          <w:sz w:val="20"/>
        </w:rPr>
        <w:t xml:space="preserve">9 </w:t>
      </w:r>
      <w:r>
        <w:rPr>
          <w:rFonts w:ascii="Microsoft YaHei" w:hAnsi="Microsoft YaHei" w:cs="Times New Roman" w:eastAsia="Microsoft YaHei"/>
          <w:b/>
          <w:sz w:val="20"/>
        </w:rPr>
        <w:t>部署测试项表</w:t>
      </w:r>
    </w:p>
    <w:tbl>
      <w:tblPr>
        <w:tblStyle w:val="TableGrid"/>
        <w:tblW w:w="15022" w:type="dxa"/>
        <w:jc w:val="center"/>
        <w:tblInd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noHBand="0" w:noVBand="1" w:firstColumn="1" w:lastRow="0" w:lastColumn="0" w:firstRow="1"/>
      </w:tblPr>
      <w:tblGrid>
        <w:gridCol w:w="2146"/>
        <w:gridCol w:w="2145"/>
        <w:gridCol w:w="2147"/>
        <w:gridCol w:w="2145"/>
        <w:gridCol w:w="2147"/>
        <w:gridCol w:w="2145"/>
        <w:gridCol w:w="2146"/>
      </w:tblGrid>
      <w:tr>
        <w:trPr>
          <w:tblHeader w:val="true"/>
        </w:trPr>
        <w:tc>
          <w:tcPr>
            <w:tcW w:w="2146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测试项编号</w:t>
            </w:r>
          </w:p>
        </w:tc>
        <w:tc>
          <w:tcPr>
            <w:tcW w:w="214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部署内容</w:t>
            </w:r>
          </w:p>
        </w:tc>
        <w:tc>
          <w:tcPr>
            <w:tcW w:w="2147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测试目标</w:t>
            </w:r>
          </w:p>
        </w:tc>
        <w:tc>
          <w:tcPr>
            <w:tcW w:w="214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前置条件</w:t>
            </w:r>
          </w:p>
        </w:tc>
        <w:tc>
          <w:tcPr>
            <w:tcW w:w="2147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操作方法</w:t>
            </w:r>
          </w:p>
        </w:tc>
        <w:tc>
          <w:tcPr>
            <w:tcW w:w="214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预期结果</w:t>
            </w:r>
          </w:p>
        </w:tc>
        <w:tc>
          <w:tcPr>
            <w:tcW w:w="2146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通过准则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DEP-01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轻量后端与前端启动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验证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deploy.ps1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启动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dify-lite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并托管第一版前端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Windows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Python 3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8088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端口可用</w:t>
            </w:r>
          </w:p>
        </w:tc>
        <w:tc>
          <w:tcPr>
            <w:tcW w:w="2147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在 SuperRAG 根目录执行 SuperRAG/deploy.ps1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/api/health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可访问，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8088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页面加载，日志写入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deploy-logs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启动脚本完成健康检查；失败时有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stdout/stderr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日志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DEP-02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全栈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Docker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启动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验证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deploy-all.ps1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启动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Dify Web/API/Weaviate/Redis/Postgres/Plugin/Sandbox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与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dify-lite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Docker / Docker Compose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可用；端口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3000/5001/8080/8088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可用</w:t>
            </w:r>
          </w:p>
        </w:tc>
        <w:tc>
          <w:tcPr>
            <w:tcW w:w="2147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执行 SuperRAG/deploy-all.ps1 并检查端口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Dify Web/API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Weaviate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dify-lite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端口可访问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容器启动顺序和健康检查符合脚本输出；失败原因可定位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DEP-03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全栈停止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验证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stop-all.ps1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停止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dify-lite launcher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与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Docker stack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系统已通过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deploy-all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启动</w:t>
            </w:r>
          </w:p>
        </w:tc>
        <w:tc>
          <w:tcPr>
            <w:tcW w:w="2147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执行 SuperRAG/stop-all.ps1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相关进程和容器进入停止状态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pid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文件缺失或容器未启动时处理有提示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DEP-04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端口占用与日志输出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验证端口占用、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stale backend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、日志文件生成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构造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8088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端口占用或已有进程场景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执行启动脚本并观察提示、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pid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stdout/stderr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脚本提示端口占用或执行清理，日志记录启动过程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不误判服务健康；日志路径和文件名符合说明</w:t>
            </w:r>
          </w:p>
        </w:tc>
      </w:tr>
      <w:tr>
        <w:trPr/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DEP-05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手动后端启动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验证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cd dify-lite; python run.py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手动启动入口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Python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环境和依赖可用</w:t>
            </w:r>
          </w:p>
        </w:tc>
        <w:tc>
          <w:tcPr>
            <w:tcW w:w="214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进入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dify-lite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目录执行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python run.py</w:t>
            </w:r>
          </w:p>
        </w:tc>
        <w:tc>
          <w:tcPr>
            <w:tcW w:w="21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后端在配置端口监听并响应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/api/health</w:t>
            </w:r>
          </w:p>
        </w:tc>
        <w:tc>
          <w:tcPr>
            <w:tcW w:w="21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依赖缺失时错误信息可用于补充依赖清单</w:t>
            </w:r>
          </w:p>
        </w:tc>
      </w:tr>
    </w:tbl>
    <w:p>
      <w:pPr>
        <w:pStyle w:val="Normal"/>
        <w:rPr/>
      </w:pPr>
      <w:r>
        <w:rPr>
          <w:rFonts w:ascii="Microsoft YaHei" w:hAnsi="Microsoft YaHei" w:eastAsia="Microsoft YaHei"/>
          <w:sz w:val="21"/>
        </w:rPr>
      </w:r>
    </w:p>
    <w:p>
      <w:pPr>
        <w:pStyle w:val="Heading2"/>
        <w:spacing w:before="80" w:after="100"/>
        <w:rPr/>
      </w:pPr>
      <w:bookmarkStart w:id="17" w:name="__RefHeading___Toc11298_3531209514"/>
      <w:bookmarkEnd w:id="17"/>
      <w:r>
        <w:rPr>
          <w:rFonts w:eastAsia="Microsoft YaHei" w:cs="Times New Roman" w:ascii="Microsoft YaHei" w:hAnsi="Microsoft YaHei"/>
          <w:b/>
          <w:sz w:val="28"/>
        </w:rPr>
        <w:t xml:space="preserve">3.7 </w:t>
      </w:r>
      <w:r>
        <w:rPr>
          <w:rFonts w:ascii="Microsoft YaHei" w:hAnsi="Microsoft YaHei" w:cs="Times New Roman" w:eastAsia="Microsoft YaHei"/>
          <w:b/>
          <w:sz w:val="28"/>
        </w:rPr>
        <w:t>异常处理测试项</w:t>
      </w:r>
    </w:p>
    <w:p>
      <w:pPr>
        <w:pStyle w:val="Normal"/>
        <w:spacing w:lineRule="auto" w:line="276" w:before="0" w:after="60"/>
        <w:jc w:val="center"/>
        <w:rPr/>
      </w:pPr>
      <w:r>
        <w:rPr>
          <w:rFonts w:ascii="Microsoft YaHei" w:hAnsi="Microsoft YaHei" w:cs="Times New Roman" w:eastAsia="Microsoft YaHei"/>
          <w:b/>
          <w:sz w:val="20"/>
        </w:rPr>
        <w:t xml:space="preserve">表 </w:t>
      </w:r>
      <w:r>
        <w:rPr>
          <w:rFonts w:eastAsia="Microsoft YaHei" w:cs="Times New Roman" w:ascii="Microsoft YaHei" w:hAnsi="Microsoft YaHei"/>
          <w:b/>
          <w:sz w:val="20"/>
        </w:rPr>
        <w:t xml:space="preserve">10 </w:t>
      </w:r>
      <w:r>
        <w:rPr>
          <w:rFonts w:ascii="Microsoft YaHei" w:hAnsi="Microsoft YaHei" w:cs="Times New Roman" w:eastAsia="Microsoft YaHei"/>
          <w:b/>
          <w:sz w:val="20"/>
        </w:rPr>
        <w:t>异常处理测试项表</w:t>
      </w:r>
    </w:p>
    <w:tbl>
      <w:tblPr>
        <w:tblStyle w:val="TableGrid"/>
        <w:tblW w:w="15024" w:type="dxa"/>
        <w:jc w:val="center"/>
        <w:tblInd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noHBand="0" w:noVBand="1" w:firstColumn="1" w:lastRow="0" w:lastColumn="0" w:firstRow="1"/>
      </w:tblPr>
      <w:tblGrid>
        <w:gridCol w:w="2504"/>
        <w:gridCol w:w="2503"/>
        <w:gridCol w:w="2505"/>
        <w:gridCol w:w="2504"/>
        <w:gridCol w:w="2503"/>
        <w:gridCol w:w="2504"/>
      </w:tblGrid>
      <w:tr>
        <w:trPr>
          <w:tblHeader w:val="true"/>
        </w:trPr>
        <w:tc>
          <w:tcPr>
            <w:tcW w:w="250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测试项编号</w:t>
            </w:r>
          </w:p>
        </w:tc>
        <w:tc>
          <w:tcPr>
            <w:tcW w:w="2503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异常场景</w:t>
            </w:r>
          </w:p>
        </w:tc>
        <w:tc>
          <w:tcPr>
            <w:tcW w:w="250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触发条件</w:t>
            </w:r>
          </w:p>
        </w:tc>
        <w:tc>
          <w:tcPr>
            <w:tcW w:w="250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系统预期处理</w:t>
            </w:r>
          </w:p>
        </w:tc>
        <w:tc>
          <w:tcPr>
            <w:tcW w:w="2503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日志</w:t>
            </w:r>
            <w:r>
              <w:rPr>
                <w:rFonts w:eastAsia="Microsoft YaHei" w:cs="Times New Roman" w:ascii="Microsoft YaHei" w:hAnsi="Microsoft YaHei"/>
                <w:b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提示要求</w:t>
            </w:r>
          </w:p>
        </w:tc>
        <w:tc>
          <w:tcPr>
            <w:tcW w:w="250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通过准则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EX-01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不支持的文件类型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上传扩展名不在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txt/md/markdown/csv/json/html/htm/docx/pptx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范围内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返回不支持格式错误，不写入可用文档记录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前端提示与后端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400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响应需一致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错误可读且不产生可检索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chunk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EX-02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空文件或无可用文本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未选择文件、文件名为空、解析后无文本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返回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file is required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或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no usable text found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表单校验、错误响应、空文件处理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无效文件不进入正式知识库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EX-03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无效文档结构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旧版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doc/ppt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、损坏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docx/pptx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或改名文件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返回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invalid docx/pptx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或解析失败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不支持格式边界和错误信息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接口不会异常退出，前端有明确提示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EX-04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chunk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参数非法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chunk_size&lt;=0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或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chunk_overlap&gt;=chunk_size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返回参数错误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400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响应和前端错误展示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非法参数不写库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EX-05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collection/project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不存在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检索或场景运行使用无效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collection_id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或未入库项目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返回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collection_id does not exist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或项目无文档提示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选择器和接口错误处理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不产生误导性空回答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EX-06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query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为空或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scene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不支持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提交空白问题或访问非白名单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scene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query is required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或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unsupported scene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前后端双层校验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空输入不发起模型生成；非法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scene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返回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404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EX-07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Weaviate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不可用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vector_store=weaviate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且连接、索引或检索失败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上传或检索返回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warning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，并可退回本地检索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warning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可见性和降级链路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服务不中断，检索模式边界清晰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EX-08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模型服务不可用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模型地址、模型名、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API Key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、网络或超时异常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返回错误或降级结果，错误不泄露密钥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超时、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401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5xx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、长输出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页面保持可操作，错误信息可定位配置问题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EX-09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模型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JSON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不规范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设计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交接模型返回非严格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JSON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执行安全解析、修复、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schema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标准化或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fallback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修复提示、质量评估、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fallbackNotice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结构化输出字段不导致前端崩溃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EX-10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历史或文档对象不存在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查询、评审、删除不存在的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artifact/document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返回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404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或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success=false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前端详情抽屉和列表刷新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不存在对象处理一致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EX-11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Mermaid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或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Clipboard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不可用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脚本加载失败、图示非法、浏览器不支持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clipboard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显示图示错误或保留源码；复制失败提示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图示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tab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和复制导出按钮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不阻塞其他结构化结果展示</w:t>
            </w:r>
          </w:p>
        </w:tc>
      </w:tr>
    </w:tbl>
    <w:p>
      <w:pPr>
        <w:pStyle w:val="Normal"/>
        <w:rPr/>
      </w:pPr>
      <w:r>
        <w:rPr>
          <w:rFonts w:ascii="Microsoft YaHei" w:hAnsi="Microsoft YaHei" w:eastAsia="Microsoft YaHei"/>
          <w:sz w:val="21"/>
        </w:rPr>
      </w:r>
    </w:p>
    <w:p>
      <w:pPr>
        <w:pStyle w:val="Heading2"/>
        <w:spacing w:before="80" w:after="100"/>
        <w:rPr/>
      </w:pPr>
      <w:bookmarkStart w:id="18" w:name="__RefHeading___Toc11300_3531209514"/>
      <w:bookmarkEnd w:id="18"/>
      <w:r>
        <w:rPr>
          <w:rFonts w:eastAsia="Microsoft YaHei" w:cs="Times New Roman" w:ascii="Microsoft YaHei" w:hAnsi="Microsoft YaHei"/>
          <w:b/>
          <w:sz w:val="28"/>
        </w:rPr>
        <w:t xml:space="preserve">3.8 </w:t>
      </w:r>
      <w:r>
        <w:rPr>
          <w:rFonts w:ascii="Microsoft YaHei" w:hAnsi="Microsoft YaHei" w:cs="Times New Roman" w:eastAsia="Microsoft YaHei"/>
          <w:b/>
          <w:sz w:val="28"/>
        </w:rPr>
        <w:t>日志与可观测性测试项</w:t>
      </w:r>
    </w:p>
    <w:p>
      <w:pPr>
        <w:pStyle w:val="Normal"/>
        <w:spacing w:lineRule="auto" w:line="276" w:before="0" w:after="60"/>
        <w:jc w:val="center"/>
        <w:rPr/>
      </w:pPr>
      <w:r>
        <w:rPr>
          <w:rFonts w:ascii="Microsoft YaHei" w:hAnsi="Microsoft YaHei" w:cs="Times New Roman" w:eastAsia="Microsoft YaHei"/>
          <w:b/>
          <w:sz w:val="20"/>
        </w:rPr>
        <w:t xml:space="preserve">表 </w:t>
      </w:r>
      <w:r>
        <w:rPr>
          <w:rFonts w:eastAsia="Microsoft YaHei" w:cs="Times New Roman" w:ascii="Microsoft YaHei" w:hAnsi="Microsoft YaHei"/>
          <w:b/>
          <w:sz w:val="20"/>
        </w:rPr>
        <w:t xml:space="preserve">11 </w:t>
      </w:r>
      <w:r>
        <w:rPr>
          <w:rFonts w:ascii="Microsoft YaHei" w:hAnsi="Microsoft YaHei" w:cs="Times New Roman" w:eastAsia="Microsoft YaHei"/>
          <w:b/>
          <w:sz w:val="20"/>
        </w:rPr>
        <w:t>日志与可观测性测试项表</w:t>
      </w:r>
    </w:p>
    <w:tbl>
      <w:tblPr>
        <w:tblStyle w:val="TableGrid"/>
        <w:tblW w:w="15024" w:type="dxa"/>
        <w:jc w:val="center"/>
        <w:tblInd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noHBand="0" w:noVBand="1" w:firstColumn="1" w:lastRow="0" w:lastColumn="0" w:firstRow="1"/>
      </w:tblPr>
      <w:tblGrid>
        <w:gridCol w:w="2504"/>
        <w:gridCol w:w="2503"/>
        <w:gridCol w:w="2505"/>
        <w:gridCol w:w="2504"/>
        <w:gridCol w:w="2503"/>
        <w:gridCol w:w="2504"/>
      </w:tblGrid>
      <w:tr>
        <w:trPr>
          <w:tblHeader w:val="true"/>
        </w:trPr>
        <w:tc>
          <w:tcPr>
            <w:tcW w:w="250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测试项编号</w:t>
            </w:r>
          </w:p>
        </w:tc>
        <w:tc>
          <w:tcPr>
            <w:tcW w:w="2503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日志</w:t>
            </w:r>
            <w:r>
              <w:rPr>
                <w:rFonts w:eastAsia="Microsoft YaHei" w:cs="Times New Roman" w:ascii="Microsoft YaHei" w:hAnsi="Microsoft YaHei"/>
                <w:b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可观测性内容</w:t>
            </w:r>
          </w:p>
        </w:tc>
        <w:tc>
          <w:tcPr>
            <w:tcW w:w="250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测试目标</w:t>
            </w:r>
          </w:p>
        </w:tc>
        <w:tc>
          <w:tcPr>
            <w:tcW w:w="250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测试方法</w:t>
            </w:r>
          </w:p>
        </w:tc>
        <w:tc>
          <w:tcPr>
            <w:tcW w:w="2503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预期结果</w:t>
            </w:r>
          </w:p>
        </w:tc>
        <w:tc>
          <w:tcPr>
            <w:tcW w:w="250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通过准则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LOG-01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部署日志文件</w:t>
            </w:r>
          </w:p>
        </w:tc>
        <w:tc>
          <w:tcPr>
            <w:tcW w:w="2505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验证 SuperRAG/data/deploy-logs 下 stdout/stderr 和 pid 文件生成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执行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deploy.ps1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deploy-all.ps1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stop-all.ps1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日志记录启动、错误和进程信息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日志路径、文件名和错误信息可用于定位问题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LOG-02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接口错误响应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验证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400/404/5xx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错误响应结构和提示内容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构造参数缺失、对象不存在、模型失败等场景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返回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error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或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warning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字段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错误信息可读，不包含密钥或内部敏感配置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LOG-03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设置页连接测试日志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验证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Workflow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连接测试在页面日志表中记录结果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后端运行和停止两种状态下点击测试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页面展示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success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durationMs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errorReason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等可读信息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日志不误写真实后端持久化能力，边界清晰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LOG-04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导入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warnings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可见性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验证文档导入、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Weaviate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不可用等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warning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可见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构造向量库不可用或解析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warning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场景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接口或页面展示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warnings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warning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可辅助定位，但不被写成测试结果</w:t>
            </w:r>
          </w:p>
        </w:tc>
      </w:tr>
    </w:tbl>
    <w:p>
      <w:pPr>
        <w:pStyle w:val="Normal"/>
        <w:rPr/>
      </w:pPr>
      <w:r>
        <w:rPr>
          <w:rFonts w:ascii="Microsoft YaHei" w:hAnsi="Microsoft YaHei" w:eastAsia="Microsoft YaHei"/>
          <w:sz w:val="21"/>
        </w:rPr>
      </w:r>
    </w:p>
    <w:p>
      <w:pPr>
        <w:pStyle w:val="Heading2"/>
        <w:spacing w:before="80" w:after="100"/>
        <w:rPr/>
      </w:pPr>
      <w:bookmarkStart w:id="19" w:name="__RefHeading___Toc11302_3531209514"/>
      <w:bookmarkEnd w:id="19"/>
      <w:r>
        <w:rPr>
          <w:rFonts w:eastAsia="Microsoft YaHei" w:cs="Times New Roman" w:ascii="Microsoft YaHei" w:hAnsi="Microsoft YaHei"/>
          <w:b/>
          <w:sz w:val="28"/>
        </w:rPr>
        <w:t xml:space="preserve">3.9 </w:t>
      </w:r>
      <w:r>
        <w:rPr>
          <w:rFonts w:ascii="Microsoft YaHei" w:hAnsi="Microsoft YaHei" w:cs="Times New Roman" w:eastAsia="Microsoft YaHei"/>
          <w:b/>
          <w:sz w:val="28"/>
        </w:rPr>
        <w:t>安全性测试项</w:t>
      </w:r>
    </w:p>
    <w:p>
      <w:pPr>
        <w:pStyle w:val="Normal"/>
        <w:spacing w:lineRule="auto" w:line="276" w:before="0" w:after="60"/>
        <w:jc w:val="center"/>
        <w:rPr/>
      </w:pPr>
      <w:r>
        <w:rPr>
          <w:rFonts w:ascii="Microsoft YaHei" w:hAnsi="Microsoft YaHei" w:cs="Times New Roman" w:eastAsia="Microsoft YaHei"/>
          <w:b/>
          <w:sz w:val="20"/>
        </w:rPr>
        <w:t xml:space="preserve">表 </w:t>
      </w:r>
      <w:r>
        <w:rPr>
          <w:rFonts w:eastAsia="Microsoft YaHei" w:cs="Times New Roman" w:ascii="Microsoft YaHei" w:hAnsi="Microsoft YaHei"/>
          <w:b/>
          <w:sz w:val="20"/>
        </w:rPr>
        <w:t xml:space="preserve">12 </w:t>
      </w:r>
      <w:r>
        <w:rPr>
          <w:rFonts w:ascii="Microsoft YaHei" w:hAnsi="Microsoft YaHei" w:cs="Times New Roman" w:eastAsia="Microsoft YaHei"/>
          <w:b/>
          <w:sz w:val="20"/>
        </w:rPr>
        <w:t>安全性测试项表</w:t>
      </w:r>
    </w:p>
    <w:tbl>
      <w:tblPr>
        <w:tblStyle w:val="TableGrid"/>
        <w:tblW w:w="15024" w:type="dxa"/>
        <w:jc w:val="center"/>
        <w:tblInd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noHBand="0" w:noVBand="1" w:firstColumn="1" w:lastRow="0" w:lastColumn="0" w:firstRow="1"/>
      </w:tblPr>
      <w:tblGrid>
        <w:gridCol w:w="2504"/>
        <w:gridCol w:w="2503"/>
        <w:gridCol w:w="2505"/>
        <w:gridCol w:w="2504"/>
        <w:gridCol w:w="2503"/>
        <w:gridCol w:w="2504"/>
      </w:tblGrid>
      <w:tr>
        <w:trPr>
          <w:tblHeader w:val="true"/>
        </w:trPr>
        <w:tc>
          <w:tcPr>
            <w:tcW w:w="250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测试项编号</w:t>
            </w:r>
          </w:p>
        </w:tc>
        <w:tc>
          <w:tcPr>
            <w:tcW w:w="2503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安全测试内容</w:t>
            </w:r>
          </w:p>
        </w:tc>
        <w:tc>
          <w:tcPr>
            <w:tcW w:w="250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测试目标</w:t>
            </w:r>
          </w:p>
        </w:tc>
        <w:tc>
          <w:tcPr>
            <w:tcW w:w="250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测试方法</w:t>
            </w:r>
          </w:p>
        </w:tc>
        <w:tc>
          <w:tcPr>
            <w:tcW w:w="2503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预期结果</w:t>
            </w:r>
          </w:p>
        </w:tc>
        <w:tc>
          <w:tcPr>
            <w:tcW w:w="250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通过准则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SEC-01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模型密钥不外泄检查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验证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DIFY_LITE_MODEL_API_KEY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不出现在前端页面、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/api/config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、日志和错误响应中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检查页面源码、接口响应、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stdout/stderr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、浏览器网络响应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公开内容不包含密钥明文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敏感字段不向前端返回，不在错误信息中暴露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SEC-02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公共配置脱敏检查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验证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/api/config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只返回可公开配置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调用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/api/config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并检查字段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返回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app_name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embedding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vector_store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model_enabled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chunk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参数等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不返回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API Key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、数据库文件绝对敏感路径或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Docker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密钥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SEC-03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登录与访问控制边界检查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确认当前登录为静态演示，不误判为后端鉴权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提交任意登录表单并访问后端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API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页面按静态演示跳转；后端未识别会话鉴权接口</w:t>
            </w:r>
          </w:p>
        </w:tc>
        <w:tc>
          <w:tcPr>
            <w:tcW w:w="2504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文档中明确后端账号与权限体系未识别为当前实现，不宣称已具备 RBAC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SEC-04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文件上传合法性检查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验证扩展名、空文件、文件名、路径访问边界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上传支持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不支持文件，构造特殊文件名，访问静态资源路径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不支持格式拒绝；路径访问不暴露任意文件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上传目录仅保存受控文件；错误处理不泄露服务器路径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SEC-05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CORS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与外部访问策略检查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验证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DIFY_LITE_CORS_ALLOW_ORIGIN=*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的安全边界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查看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.env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与跨域访问行为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当前策略被识别并记录为待确认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正式部署前需由安全设计确认允许来源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SEC-06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Docker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示例密钥检查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验证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docker .env.example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中示例密钥不直接用于正式演示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提交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检查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Docker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配置和部署说明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示例密钥被标记为需替换项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提交材料不包含真实密钥，正式环境需替换默认密码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密钥</w:t>
            </w:r>
          </w:p>
        </w:tc>
      </w:tr>
    </w:tbl>
    <w:p>
      <w:pPr>
        <w:pStyle w:val="Normal"/>
        <w:rPr/>
      </w:pPr>
      <w:r>
        <w:rPr>
          <w:rFonts w:ascii="Microsoft YaHei" w:hAnsi="Microsoft YaHei" w:eastAsia="Microsoft YaHei"/>
          <w:sz w:val="21"/>
        </w:rPr>
      </w:r>
    </w:p>
    <w:p>
      <w:pPr>
        <w:pStyle w:val="Heading2"/>
        <w:spacing w:before="80" w:after="100"/>
        <w:rPr/>
      </w:pPr>
      <w:bookmarkStart w:id="20" w:name="__RefHeading___Toc11304_3531209514"/>
      <w:bookmarkEnd w:id="20"/>
      <w:r>
        <w:rPr>
          <w:rFonts w:eastAsia="Microsoft YaHei" w:cs="Times New Roman" w:ascii="Microsoft YaHei" w:hAnsi="Microsoft YaHei"/>
          <w:b/>
          <w:sz w:val="28"/>
        </w:rPr>
        <w:t xml:space="preserve">3.10 </w:t>
      </w:r>
      <w:r>
        <w:rPr>
          <w:rFonts w:ascii="Microsoft YaHei" w:hAnsi="Microsoft YaHei" w:cs="Times New Roman" w:eastAsia="Microsoft YaHei"/>
          <w:b/>
          <w:sz w:val="28"/>
        </w:rPr>
        <w:t>性能与可靠性测试项</w:t>
      </w:r>
    </w:p>
    <w:p>
      <w:pPr>
        <w:pStyle w:val="Normal"/>
        <w:spacing w:lineRule="auto" w:line="276" w:before="0" w:after="60"/>
        <w:ind w:firstLine="420"/>
        <w:rPr/>
      </w:pPr>
      <w:r>
        <w:rPr>
          <w:rFonts w:ascii="Microsoft YaHei" w:hAnsi="Microsoft YaHei" w:cs="Times New Roman" w:eastAsia="Microsoft YaHei"/>
          <w:b w:val="false"/>
          <w:sz w:val="21"/>
        </w:rPr>
        <w:t>本项目材料未提供正式响应时间、并发数、文档大小、</w:t>
      </w:r>
      <w:r>
        <w:rPr>
          <w:rFonts w:eastAsia="Microsoft YaHei" w:cs="Times New Roman" w:ascii="Microsoft YaHei" w:hAnsi="Microsoft YaHei"/>
          <w:b w:val="false"/>
          <w:sz w:val="21"/>
        </w:rPr>
        <w:t xml:space="preserve">chunk </w:t>
      </w:r>
      <w:r>
        <w:rPr>
          <w:rFonts w:ascii="Microsoft YaHei" w:hAnsi="Microsoft YaHei" w:cs="Times New Roman" w:eastAsia="Microsoft YaHei"/>
          <w:b w:val="false"/>
          <w:sz w:val="21"/>
        </w:rPr>
        <w:t>数、模型生成耗时等定量指标。性能测试项用于规定应覆盖的测试内容和记录口径，具体性能指标以项目验收要求或课程要求为准。</w:t>
      </w:r>
    </w:p>
    <w:p>
      <w:pPr>
        <w:pStyle w:val="Normal"/>
        <w:spacing w:lineRule="auto" w:line="276" w:before="0" w:after="60"/>
        <w:jc w:val="center"/>
        <w:rPr/>
      </w:pPr>
      <w:r>
        <w:rPr>
          <w:rFonts w:ascii="Microsoft YaHei" w:hAnsi="Microsoft YaHei" w:cs="Times New Roman" w:eastAsia="Microsoft YaHei"/>
          <w:b/>
          <w:sz w:val="20"/>
        </w:rPr>
        <w:t xml:space="preserve">表 </w:t>
      </w:r>
      <w:r>
        <w:rPr>
          <w:rFonts w:eastAsia="Microsoft YaHei" w:cs="Times New Roman" w:ascii="Microsoft YaHei" w:hAnsi="Microsoft YaHei"/>
          <w:b/>
          <w:sz w:val="20"/>
        </w:rPr>
        <w:t xml:space="preserve">13 </w:t>
      </w:r>
      <w:r>
        <w:rPr>
          <w:rFonts w:ascii="Microsoft YaHei" w:hAnsi="Microsoft YaHei" w:cs="Times New Roman" w:eastAsia="Microsoft YaHei"/>
          <w:b/>
          <w:sz w:val="20"/>
        </w:rPr>
        <w:t>性能与可靠性测试项表</w:t>
      </w:r>
    </w:p>
    <w:tbl>
      <w:tblPr>
        <w:tblStyle w:val="TableGrid"/>
        <w:tblW w:w="15024" w:type="dxa"/>
        <w:jc w:val="center"/>
        <w:tblInd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noHBand="0" w:noVBand="1" w:firstColumn="1" w:lastRow="0" w:lastColumn="0" w:firstRow="1"/>
      </w:tblPr>
      <w:tblGrid>
        <w:gridCol w:w="2504"/>
        <w:gridCol w:w="2503"/>
        <w:gridCol w:w="2505"/>
        <w:gridCol w:w="2504"/>
        <w:gridCol w:w="2503"/>
        <w:gridCol w:w="2504"/>
      </w:tblGrid>
      <w:tr>
        <w:trPr>
          <w:tblHeader w:val="true"/>
        </w:trPr>
        <w:tc>
          <w:tcPr>
            <w:tcW w:w="250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测试项编号</w:t>
            </w:r>
          </w:p>
        </w:tc>
        <w:tc>
          <w:tcPr>
            <w:tcW w:w="2503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测试内容</w:t>
            </w:r>
          </w:p>
        </w:tc>
        <w:tc>
          <w:tcPr>
            <w:tcW w:w="250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测试目标</w:t>
            </w:r>
          </w:p>
        </w:tc>
        <w:tc>
          <w:tcPr>
            <w:tcW w:w="250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测试方法</w:t>
            </w:r>
          </w:p>
        </w:tc>
        <w:tc>
          <w:tcPr>
            <w:tcW w:w="2503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指标</w:t>
            </w:r>
            <w:r>
              <w:rPr>
                <w:rFonts w:eastAsia="Microsoft YaHei" w:cs="Times New Roman" w:ascii="Microsoft YaHei" w:hAnsi="Microsoft YaHei"/>
                <w:b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约束</w:t>
            </w:r>
          </w:p>
        </w:tc>
        <w:tc>
          <w:tcPr>
            <w:tcW w:w="250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通过准则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PERF-01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文档导入与切片耗时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观察不同格式和不同大小文档的导入耗时、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chunk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数和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warning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使用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md/txt/docx/pptx/csv/json/html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样例文件导入并记录耗时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具体文档大小、耗时和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chunk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数指标以项目验收要求或课程要求为准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在指标阈值内完成导入；无正式阈值时只记录数据和异常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PERF-02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检索响应与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top_k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参数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观察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top_k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collection_id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query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长度对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hits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和耗时的影响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调用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/api/retrieval/query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，覆盖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top_k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边界和空结果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具体响应时间指标以项目验收要求或课程要求为准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响应结构稳定，边界参数处理明确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PERF-03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问答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设计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交接生成耗时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观察模型请求超时、长输出和页面加载状态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在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general/design/handover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场景提交典型问题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生成超时由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DIFY_LITE_MODEL_TIMEOUT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与前端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CHAT_API_TIMEOUT_MS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约束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在约束内返回结果或错误；页面不冻结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PERF-04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本地持久化可靠性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观察上传、保存、删除、刷新后的数据保留与一致性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执行主流程后刷新页面、重启后端、检查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SQLite/uploads/localStorage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数据保留策略以本地演示需求为准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持久化对象可恢复；不一致项可定位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PERF-05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部署可靠性与恢复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观察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deploy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deploy-all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stop-all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在重复执行和异常状态下的表现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重复执行启动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停止脚本，构造端口占用或容器未启动场景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具体恢复时间指标以项目验收要求或课程要求为准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脚本输出可定位问题，日志可追踪启动失败原因</w:t>
            </w:r>
          </w:p>
        </w:tc>
      </w:tr>
    </w:tbl>
    <w:p>
      <w:pPr>
        <w:pStyle w:val="Normal"/>
        <w:rPr/>
      </w:pPr>
      <w:r>
        <w:rPr>
          <w:rFonts w:ascii="Microsoft YaHei" w:hAnsi="Microsoft YaHei" w:eastAsia="Microsoft YaHei"/>
          <w:sz w:val="21"/>
        </w:rPr>
      </w:r>
    </w:p>
    <w:p>
      <w:pPr>
        <w:pStyle w:val="Heading2"/>
        <w:spacing w:before="80" w:after="100"/>
        <w:rPr/>
      </w:pPr>
      <w:bookmarkStart w:id="21" w:name="__RefHeading___Toc11306_3531209514"/>
      <w:bookmarkEnd w:id="21"/>
      <w:r>
        <w:rPr>
          <w:rFonts w:eastAsia="Microsoft YaHei" w:cs="Times New Roman" w:ascii="Microsoft YaHei" w:hAnsi="Microsoft YaHei"/>
          <w:b/>
          <w:sz w:val="28"/>
        </w:rPr>
        <w:t xml:space="preserve">3.11 </w:t>
      </w:r>
      <w:r>
        <w:rPr>
          <w:rFonts w:ascii="Microsoft YaHei" w:hAnsi="Microsoft YaHei" w:cs="Times New Roman" w:eastAsia="Microsoft YaHei"/>
          <w:b/>
          <w:sz w:val="28"/>
        </w:rPr>
        <w:t>兼容性测试项</w:t>
      </w:r>
    </w:p>
    <w:p>
      <w:pPr>
        <w:pStyle w:val="Normal"/>
        <w:spacing w:lineRule="auto" w:line="276" w:before="0" w:after="60"/>
        <w:jc w:val="center"/>
        <w:rPr/>
      </w:pPr>
      <w:r>
        <w:rPr>
          <w:rFonts w:ascii="Microsoft YaHei" w:hAnsi="Microsoft YaHei" w:cs="Times New Roman" w:eastAsia="Microsoft YaHei"/>
          <w:b/>
          <w:sz w:val="20"/>
        </w:rPr>
        <w:t xml:space="preserve">表 </w:t>
      </w:r>
      <w:r>
        <w:rPr>
          <w:rFonts w:eastAsia="Microsoft YaHei" w:cs="Times New Roman" w:ascii="Microsoft YaHei" w:hAnsi="Microsoft YaHei"/>
          <w:b/>
          <w:sz w:val="20"/>
        </w:rPr>
        <w:t xml:space="preserve">14 </w:t>
      </w:r>
      <w:r>
        <w:rPr>
          <w:rFonts w:ascii="Microsoft YaHei" w:hAnsi="Microsoft YaHei" w:cs="Times New Roman" w:eastAsia="Microsoft YaHei"/>
          <w:b/>
          <w:sz w:val="20"/>
        </w:rPr>
        <w:t>兼容性测试项表</w:t>
      </w:r>
    </w:p>
    <w:tbl>
      <w:tblPr>
        <w:tblStyle w:val="TableGrid"/>
        <w:tblW w:w="15025" w:type="dxa"/>
        <w:jc w:val="center"/>
        <w:tblInd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noHBand="0" w:noVBand="1" w:firstColumn="1" w:lastRow="0" w:lastColumn="0" w:firstRow="1"/>
      </w:tblPr>
      <w:tblGrid>
        <w:gridCol w:w="3005"/>
        <w:gridCol w:w="3005"/>
        <w:gridCol w:w="3005"/>
        <w:gridCol w:w="3005"/>
        <w:gridCol w:w="3005"/>
      </w:tblGrid>
      <w:tr>
        <w:trPr>
          <w:tblHeader w:val="true"/>
        </w:trPr>
        <w:tc>
          <w:tcPr>
            <w:tcW w:w="300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5"/>
                <w:szCs w:val="22"/>
                <w:lang w:val="en-US" w:eastAsia="en-US" w:bidi="ar-SA"/>
              </w:rPr>
              <w:t>测试项编号</w:t>
            </w:r>
          </w:p>
        </w:tc>
        <w:tc>
          <w:tcPr>
            <w:tcW w:w="300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5"/>
                <w:szCs w:val="22"/>
                <w:lang w:val="en-US" w:eastAsia="en-US" w:bidi="ar-SA"/>
              </w:rPr>
              <w:t>兼容性内容</w:t>
            </w:r>
          </w:p>
        </w:tc>
        <w:tc>
          <w:tcPr>
            <w:tcW w:w="300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5"/>
                <w:szCs w:val="22"/>
                <w:lang w:val="en-US" w:eastAsia="en-US" w:bidi="ar-SA"/>
              </w:rPr>
              <w:t>测试目标</w:t>
            </w:r>
          </w:p>
        </w:tc>
        <w:tc>
          <w:tcPr>
            <w:tcW w:w="300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5"/>
                <w:szCs w:val="22"/>
                <w:lang w:val="en-US" w:eastAsia="en-US" w:bidi="ar-SA"/>
              </w:rPr>
              <w:t>测试方法</w:t>
            </w:r>
          </w:p>
        </w:tc>
        <w:tc>
          <w:tcPr>
            <w:tcW w:w="300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5"/>
                <w:szCs w:val="22"/>
                <w:lang w:val="en-US" w:eastAsia="en-US" w:bidi="ar-SA"/>
              </w:rPr>
              <w:t>预期结果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UI-11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浏览器兼容性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验证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Chrome/Edge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下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fetch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localStorage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Clipboard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Blob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Mermaid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脚本等前端能力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在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Chrome/Edge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中访问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8088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并执行主流程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同一主流程在目标浏览器下可操作，异常提示可读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DEP-06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访问方式兼容性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验证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file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协议和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HTTP same-origin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下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API_BASE_URL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行为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分别通过本地文件和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http://127.0.0.1:8088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打开页面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file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协议下指向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8088 API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，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HTTP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下使用同源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/api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DEP-07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Docker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依赖兼容性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验证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Docker Compose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配置在本地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Windows Docker Desktop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环境下运行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执行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deploy-all.ps1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并检查容器与端口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主要容器端口可访问；不可用依赖有明确提示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DT-06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文档格式兼容性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验证已支持格式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txt/md/markdown/csv/json/html/htm/docx/pptx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的解析边界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上传各类样例文件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支持格式按预期解析；未支持格式进入异常处理流程</w:t>
            </w:r>
          </w:p>
        </w:tc>
      </w:tr>
    </w:tbl>
    <w:p>
      <w:pPr>
        <w:pStyle w:val="Normal"/>
        <w:rPr/>
      </w:pPr>
      <w:r>
        <w:rPr>
          <w:rFonts w:ascii="Microsoft YaHei" w:hAnsi="Microsoft YaHei" w:eastAsia="Microsoft YaHei"/>
          <w:sz w:val="21"/>
        </w:rPr>
      </w:r>
    </w:p>
    <w:p>
      <w:pPr>
        <w:pStyle w:val="Heading2"/>
        <w:spacing w:before="80" w:after="100"/>
        <w:rPr/>
      </w:pPr>
      <w:bookmarkStart w:id="22" w:name="__RefHeading___Toc11308_3531209514"/>
      <w:bookmarkEnd w:id="22"/>
      <w:r>
        <w:rPr>
          <w:rFonts w:eastAsia="Microsoft YaHei" w:cs="Times New Roman" w:ascii="Microsoft YaHei" w:hAnsi="Microsoft YaHei"/>
          <w:b/>
          <w:sz w:val="28"/>
        </w:rPr>
        <w:t xml:space="preserve">3.12 </w:t>
      </w:r>
      <w:r>
        <w:rPr>
          <w:rFonts w:ascii="Microsoft YaHei" w:hAnsi="Microsoft YaHei" w:cs="Times New Roman" w:eastAsia="Microsoft YaHei"/>
          <w:b/>
          <w:sz w:val="28"/>
        </w:rPr>
        <w:t>回归测试项</w:t>
      </w:r>
    </w:p>
    <w:p>
      <w:pPr>
        <w:pStyle w:val="Normal"/>
        <w:spacing w:lineRule="auto" w:line="276" w:before="0" w:after="60"/>
        <w:jc w:val="center"/>
        <w:rPr/>
      </w:pPr>
      <w:r>
        <w:rPr>
          <w:rFonts w:ascii="Microsoft YaHei" w:hAnsi="Microsoft YaHei" w:cs="Times New Roman" w:eastAsia="Microsoft YaHei"/>
          <w:b/>
          <w:sz w:val="20"/>
        </w:rPr>
        <w:t xml:space="preserve">表 </w:t>
      </w:r>
      <w:r>
        <w:rPr>
          <w:rFonts w:eastAsia="Microsoft YaHei" w:cs="Times New Roman" w:ascii="Microsoft YaHei" w:hAnsi="Microsoft YaHei"/>
          <w:b/>
          <w:sz w:val="20"/>
        </w:rPr>
        <w:t xml:space="preserve">15 </w:t>
      </w:r>
      <w:r>
        <w:rPr>
          <w:rFonts w:ascii="Microsoft YaHei" w:hAnsi="Microsoft YaHei" w:cs="Times New Roman" w:eastAsia="Microsoft YaHei"/>
          <w:b/>
          <w:sz w:val="20"/>
        </w:rPr>
        <w:t>回归测试项表</w:t>
      </w:r>
    </w:p>
    <w:tbl>
      <w:tblPr>
        <w:tblStyle w:val="TableGrid"/>
        <w:tblW w:w="15024" w:type="dxa"/>
        <w:jc w:val="center"/>
        <w:tblInd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noHBand="0" w:noVBand="1" w:firstColumn="1" w:lastRow="0" w:lastColumn="0" w:firstRow="1"/>
      </w:tblPr>
      <w:tblGrid>
        <w:gridCol w:w="2504"/>
        <w:gridCol w:w="2503"/>
        <w:gridCol w:w="2505"/>
        <w:gridCol w:w="2504"/>
        <w:gridCol w:w="2503"/>
        <w:gridCol w:w="2504"/>
      </w:tblGrid>
      <w:tr>
        <w:trPr>
          <w:tblHeader w:val="true"/>
        </w:trPr>
        <w:tc>
          <w:tcPr>
            <w:tcW w:w="250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测试项编号</w:t>
            </w:r>
          </w:p>
        </w:tc>
        <w:tc>
          <w:tcPr>
            <w:tcW w:w="2503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回归内容</w:t>
            </w:r>
          </w:p>
        </w:tc>
        <w:tc>
          <w:tcPr>
            <w:tcW w:w="250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覆盖流程</w:t>
            </w:r>
          </w:p>
        </w:tc>
        <w:tc>
          <w:tcPr>
            <w:tcW w:w="250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测试数据</w:t>
            </w:r>
          </w:p>
        </w:tc>
        <w:tc>
          <w:tcPr>
            <w:tcW w:w="2503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触发时机</w:t>
            </w:r>
          </w:p>
        </w:tc>
        <w:tc>
          <w:tcPr>
            <w:tcW w:w="250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通过准则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REG-01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核心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RAG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主链路回归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文档上传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-&gt;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检索问答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-&gt;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引用原文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-&gt;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历史保存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使用固定演示文档和固定问题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每次版本变更后执行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文档可入库，问答有引用，引用可定位原文，历史可查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REG-02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设计辅助与图示回归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设计目标输入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-&gt;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结构化输出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-&gt; Mermaid tab -&gt; Markdown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导出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使用固定设计问题和项目文档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前端字段映射或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pipeline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变更后执行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主要结构字段、质量评估、图示源码和导出结构保持可用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REG-03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文档删除一致性回归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删除文档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-&gt;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列表刷新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-&gt;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检索结果检查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准备可识别的测试文档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删除逻辑或向量库配置变更后执行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SQLite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和上传目录处理符合设计；向量库同步风险被记录或修复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REG-04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部署脚本回归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deploy.ps1/deploy-all.ps1/stop-all.ps1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Windows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Python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Docker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环境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脚本或端口配置变更后执行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启动、健康检查、日志和停止流程保持一致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REG-05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中文文件名与中文检索回归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中文文件名上传、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CJK n-gram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检索、引用原文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准备中文命名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docx/md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和中文查询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文档解析或检索逻辑变更后执行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中文文件名不丢后缀，中文查询能召回相关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chunk</w:t>
            </w:r>
          </w:p>
        </w:tc>
      </w:tr>
    </w:tbl>
    <w:p>
      <w:pPr>
        <w:pStyle w:val="Normal"/>
        <w:rPr/>
      </w:pPr>
      <w:r>
        <w:rPr>
          <w:rFonts w:ascii="Microsoft YaHei" w:hAnsi="Microsoft YaHei" w:eastAsia="Microsoft YaHei"/>
          <w:sz w:val="21"/>
        </w:rPr>
      </w:r>
    </w:p>
    <w:p>
      <w:pPr>
        <w:pStyle w:val="Heading1"/>
        <w:spacing w:before="160" w:after="100"/>
        <w:rPr/>
      </w:pPr>
      <w:bookmarkStart w:id="23" w:name="__RefHeading___Toc11310_3531209514"/>
      <w:bookmarkEnd w:id="23"/>
      <w:r>
        <w:rPr>
          <w:rFonts w:eastAsia="Microsoft YaHei" w:cs="Times New Roman" w:ascii="Microsoft YaHei" w:hAnsi="Microsoft YaHei"/>
          <w:b/>
          <w:sz w:val="32"/>
        </w:rPr>
        <w:t xml:space="preserve">4 </w:t>
      </w:r>
      <w:r>
        <w:rPr>
          <w:rFonts w:ascii="Microsoft YaHei" w:hAnsi="Microsoft YaHei" w:cs="Times New Roman" w:eastAsia="Microsoft YaHei"/>
          <w:b/>
          <w:sz w:val="32"/>
        </w:rPr>
        <w:t>需测试的特性</w:t>
      </w:r>
    </w:p>
    <w:p>
      <w:pPr>
        <w:pStyle w:val="Normal"/>
        <w:spacing w:lineRule="auto" w:line="276" w:before="0" w:after="60"/>
        <w:ind w:firstLine="420"/>
        <w:rPr/>
      </w:pPr>
      <w:r>
        <w:rPr>
          <w:rFonts w:ascii="Microsoft YaHei" w:hAnsi="Microsoft YaHei" w:cs="Times New Roman" w:eastAsia="Microsoft YaHei"/>
          <w:b w:val="false"/>
          <w:sz w:val="21"/>
        </w:rPr>
        <w:t xml:space="preserve">本章列出需测试的业务特性与对应测试项。由于项目未提供正式需求规格说明编号，本文采用 </w:t>
      </w:r>
      <w:r>
        <w:rPr>
          <w:rFonts w:eastAsia="Microsoft YaHei" w:cs="Times New Roman" w:ascii="Microsoft YaHei" w:hAnsi="Microsoft YaHei"/>
          <w:b w:val="false"/>
          <w:sz w:val="21"/>
        </w:rPr>
        <w:t xml:space="preserve">F-01 </w:t>
      </w:r>
      <w:r>
        <w:rPr>
          <w:rFonts w:ascii="Microsoft YaHei" w:hAnsi="Microsoft YaHei" w:cs="Times New Roman" w:eastAsia="Microsoft YaHei"/>
          <w:b w:val="false"/>
          <w:sz w:val="21"/>
        </w:rPr>
        <w:t xml:space="preserve">至 </w:t>
      </w:r>
      <w:r>
        <w:rPr>
          <w:rFonts w:eastAsia="Microsoft YaHei" w:cs="Times New Roman" w:ascii="Microsoft YaHei" w:hAnsi="Microsoft YaHei"/>
          <w:b w:val="false"/>
          <w:sz w:val="21"/>
        </w:rPr>
        <w:t xml:space="preserve">F-17 </w:t>
      </w:r>
      <w:r>
        <w:rPr>
          <w:rFonts w:ascii="Microsoft YaHei" w:hAnsi="Microsoft YaHei" w:cs="Times New Roman" w:eastAsia="Microsoft YaHei"/>
          <w:b w:val="false"/>
          <w:sz w:val="21"/>
        </w:rPr>
        <w:t>内部功能编号进行追踪。后续如提供正式需求规格说明，可将本表编号映射到正式需求编号。</w:t>
      </w:r>
    </w:p>
    <w:p>
      <w:pPr>
        <w:pStyle w:val="Normal"/>
        <w:spacing w:lineRule="auto" w:line="276" w:before="0" w:after="60"/>
        <w:jc w:val="center"/>
        <w:rPr/>
      </w:pPr>
      <w:r>
        <w:rPr>
          <w:rFonts w:ascii="Microsoft YaHei" w:hAnsi="Microsoft YaHei" w:cs="Times New Roman" w:eastAsia="Microsoft YaHei"/>
          <w:b/>
          <w:sz w:val="20"/>
        </w:rPr>
        <w:t xml:space="preserve">表 </w:t>
      </w:r>
      <w:r>
        <w:rPr>
          <w:rFonts w:eastAsia="Microsoft YaHei" w:cs="Times New Roman" w:ascii="Microsoft YaHei" w:hAnsi="Microsoft YaHei"/>
          <w:b/>
          <w:sz w:val="20"/>
        </w:rPr>
        <w:t xml:space="preserve">16 </w:t>
      </w:r>
      <w:r>
        <w:rPr>
          <w:rFonts w:ascii="Microsoft YaHei" w:hAnsi="Microsoft YaHei" w:cs="Times New Roman" w:eastAsia="Microsoft YaHei"/>
          <w:b/>
          <w:sz w:val="20"/>
        </w:rPr>
        <w:t>需测试特性表</w:t>
      </w:r>
    </w:p>
    <w:tbl>
      <w:tblPr>
        <w:tblStyle w:val="TableGrid"/>
        <w:tblW w:w="15025" w:type="dxa"/>
        <w:jc w:val="center"/>
        <w:tblInd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noHBand="0" w:noVBand="1" w:firstColumn="1" w:lastRow="0" w:lastColumn="0" w:firstRow="1"/>
      </w:tblPr>
      <w:tblGrid>
        <w:gridCol w:w="3005"/>
        <w:gridCol w:w="3005"/>
        <w:gridCol w:w="3005"/>
        <w:gridCol w:w="3005"/>
        <w:gridCol w:w="3005"/>
      </w:tblGrid>
      <w:tr>
        <w:trPr>
          <w:tblHeader w:val="true"/>
        </w:trPr>
        <w:tc>
          <w:tcPr>
            <w:tcW w:w="300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功能编号</w:t>
            </w:r>
          </w:p>
        </w:tc>
        <w:tc>
          <w:tcPr>
            <w:tcW w:w="300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功能目标</w:t>
            </w:r>
          </w:p>
        </w:tc>
        <w:tc>
          <w:tcPr>
            <w:tcW w:w="300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对应模块</w:t>
            </w:r>
          </w:p>
        </w:tc>
        <w:tc>
          <w:tcPr>
            <w:tcW w:w="300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对应接口</w:t>
            </w:r>
            <w:r>
              <w:rPr>
                <w:rFonts w:eastAsia="Microsoft YaHei" w:cs="Times New Roman" w:ascii="Microsoft YaHei" w:hAnsi="Microsoft YaHei"/>
                <w:b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页面</w:t>
            </w:r>
          </w:p>
        </w:tc>
        <w:tc>
          <w:tcPr>
            <w:tcW w:w="300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对应测试项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F-01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用户进入系统并切换业务页面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M-01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P-01/P-02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，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I-01/I-02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FT-01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UI-01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UI-02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F-02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展示系统概览与知识库状态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M-02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P-02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，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I-03/I-07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FT-02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IT-02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F-03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上传企业文档并完成入库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M-03/M-04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P-03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，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I-08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FT-04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IT-04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DT-02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DT-03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F-04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管理文档列表与详情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M-03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P-03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，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I-07/I-09/I-10/I-11/I-12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FT-03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UI-03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IT-04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IT-05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F-05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支持本地检索与证据召回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M-05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I-15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FT-05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IT-07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PERF-02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F-06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支持通用知识问答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M-06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P-04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，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I-14/I-16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FT-06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UI-04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IT-06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IT-07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F-07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支持新人培训生成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M-07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P-05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，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I-14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FT-07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UI-05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F-08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支持项目交接生成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M-08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P-06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，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I-14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FT-08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UI-06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F-09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支持设计辅助生成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M-09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P-07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，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I-14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FT-09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UI-07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F-10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支持模型输出校验与质量评估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M-08/M-09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I-14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FT-08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FT-09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EX-09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F-11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支持历史产物保存、查询和删除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M-10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P-09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，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I-17/I-18/I-19/I-20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FT-10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UI-09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IT-08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F-12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支持产物评审状态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M-10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I-21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FT-10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IT-08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F-13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支持知识缺口分析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M-11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P-08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，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I-22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FT-11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UI-08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F-14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支持后台配置展示和连接测试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M-12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P-10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，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I-03/I-04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FT-12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UI-10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DT-01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SEC-01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SEC-02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F-15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支持本地与全栈部署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M-13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I-27/I-28/I-29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DEP-01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DEP-02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DEP-03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DEP-04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F-16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支持导出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复制场景产物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M-08/M-09/M-10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P-06/P-07/P-09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FT-08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FT-09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FT-10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UI-06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UI-07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UI-09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F-17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保护密钥和敏感配置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M-12/M-13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I-04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、配置文件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SEC-01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SEC-02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SEC-05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SEC-06</w:t>
            </w:r>
          </w:p>
        </w:tc>
      </w:tr>
    </w:tbl>
    <w:p>
      <w:pPr>
        <w:pStyle w:val="Normal"/>
        <w:rPr/>
      </w:pPr>
      <w:r>
        <w:rPr>
          <w:rFonts w:ascii="Microsoft YaHei" w:hAnsi="Microsoft YaHei" w:eastAsia="Microsoft YaHei"/>
          <w:sz w:val="21"/>
        </w:rPr>
      </w:r>
    </w:p>
    <w:p>
      <w:pPr>
        <w:pStyle w:val="Heading1"/>
        <w:spacing w:before="160" w:after="100"/>
        <w:rPr/>
      </w:pPr>
      <w:bookmarkStart w:id="24" w:name="__RefHeading___Toc11312_3531209514"/>
      <w:bookmarkEnd w:id="24"/>
      <w:r>
        <w:rPr>
          <w:rFonts w:eastAsia="Microsoft YaHei" w:cs="Times New Roman" w:ascii="Microsoft YaHei" w:hAnsi="Microsoft YaHei"/>
          <w:b/>
          <w:sz w:val="32"/>
        </w:rPr>
        <w:t xml:space="preserve">5 </w:t>
      </w:r>
      <w:r>
        <w:rPr>
          <w:rFonts w:ascii="Microsoft YaHei" w:hAnsi="Microsoft YaHei" w:cs="Times New Roman" w:eastAsia="Microsoft YaHei"/>
          <w:b/>
          <w:sz w:val="32"/>
        </w:rPr>
        <w:t>不需测试的特性</w:t>
      </w:r>
    </w:p>
    <w:p>
      <w:pPr>
        <w:pStyle w:val="Normal"/>
        <w:spacing w:lineRule="auto" w:line="276" w:before="0" w:after="60"/>
        <w:ind w:firstLine="420"/>
        <w:rPr/>
      </w:pPr>
      <w:r>
        <w:rPr>
          <w:rFonts w:ascii="Microsoft YaHei" w:hAnsi="Microsoft YaHei" w:cs="Times New Roman" w:eastAsia="Microsoft YaHei"/>
          <w:b w:val="false"/>
          <w:sz w:val="21"/>
        </w:rPr>
        <w:t xml:space="preserve">不需测试的特性不代表没有工程价值，而是当前材料未将其纳入 </w:t>
      </w:r>
      <w:r>
        <w:rPr>
          <w:rFonts w:eastAsia="Microsoft YaHei" w:cs="Times New Roman" w:ascii="Microsoft YaHei" w:hAnsi="Microsoft YaHei"/>
          <w:b w:val="false"/>
          <w:sz w:val="21"/>
        </w:rPr>
        <w:t xml:space="preserve">SuperRAG </w:t>
      </w:r>
      <w:r>
        <w:rPr>
          <w:rFonts w:ascii="Microsoft YaHei" w:hAnsi="Microsoft YaHei" w:cs="Times New Roman" w:eastAsia="Microsoft YaHei"/>
          <w:b w:val="false"/>
          <w:sz w:val="21"/>
        </w:rPr>
        <w:t>主系统功能清单，或当前实现未形成可测试闭环。相关内容如后续进入需求范围，应补充需求说明、接口契约、数据对象和通过准则后再纳入测试。</w:t>
      </w:r>
    </w:p>
    <w:tbl>
      <w:tblPr>
        <w:tblStyle w:val="TableGrid"/>
        <w:tblW w:w="15024" w:type="dxa"/>
        <w:jc w:val="center"/>
        <w:tblInd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noHBand="0" w:noVBand="1" w:firstColumn="1" w:lastRow="0" w:lastColumn="0" w:firstRow="1"/>
      </w:tblPr>
      <w:tblGrid>
        <w:gridCol w:w="5008"/>
        <w:gridCol w:w="5008"/>
        <w:gridCol w:w="5008"/>
      </w:tblGrid>
      <w:tr>
        <w:trPr>
          <w:tblHeader w:val="true"/>
        </w:trPr>
        <w:tc>
          <w:tcPr>
            <w:tcW w:w="5008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6"/>
                <w:szCs w:val="22"/>
                <w:lang w:val="en-US" w:eastAsia="en-US" w:bidi="ar-SA"/>
              </w:rPr>
              <w:t>编号</w:t>
            </w:r>
          </w:p>
        </w:tc>
        <w:tc>
          <w:tcPr>
            <w:tcW w:w="5008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6"/>
                <w:szCs w:val="22"/>
                <w:lang w:val="en-US" w:eastAsia="en-US" w:bidi="ar-SA"/>
              </w:rPr>
              <w:t>不需测试特性</w:t>
            </w:r>
            <w:r>
              <w:rPr>
                <w:rFonts w:eastAsia="Microsoft YaHei" w:cs="Times New Roman" w:ascii="Microsoft YaHei" w:hAnsi="Microsoft YaHei"/>
                <w:b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Microsoft YaHei" w:hAnsi="Microsoft YaHei" w:cs="Times New Roman" w:eastAsia="Microsoft YaHei"/>
                <w:b/>
                <w:kern w:val="0"/>
                <w:sz w:val="16"/>
                <w:szCs w:val="22"/>
                <w:lang w:val="en-US" w:eastAsia="en-US" w:bidi="ar-SA"/>
              </w:rPr>
              <w:t>对象</w:t>
            </w:r>
          </w:p>
        </w:tc>
        <w:tc>
          <w:tcPr>
            <w:tcW w:w="5008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6"/>
                <w:szCs w:val="22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NT-01</w:t>
            </w:r>
          </w:p>
        </w:tc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dify-main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上游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/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参考工程</w:t>
            </w:r>
          </w:p>
        </w:tc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同根目录参考工程，不属于本次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SuperRAG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主系统功能清单</w:t>
            </w:r>
          </w:p>
        </w:tc>
      </w:tr>
      <w:tr>
        <w:trPr/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NT-02</w:t>
            </w:r>
          </w:p>
        </w:tc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codex-provider-sync-full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独立工程</w:t>
            </w:r>
          </w:p>
        </w:tc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独立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.NET/Node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工程，未纳入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SuperRAG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主功能清单</w:t>
            </w:r>
          </w:p>
        </w:tc>
      </w:tr>
      <w:tr>
        <w:trPr/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NT-03</w:t>
            </w:r>
          </w:p>
        </w:tc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完整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Dify Web 3000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控制台业务功能</w:t>
            </w:r>
          </w:p>
        </w:tc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仅作为可选依赖栈和基础设施，不作为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8088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主页面直接业务后端测试对象</w:t>
            </w:r>
          </w:p>
        </w:tc>
      </w:tr>
      <w:tr>
        <w:trPr/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NT-04</w:t>
            </w:r>
          </w:p>
        </w:tc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PDF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Excel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、旧版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doc/ppt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文档解析能力</w:t>
            </w:r>
          </w:p>
        </w:tc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当前实现未识别为支持格式，不写入正式测试项；可作为不支持格式异常测试</w:t>
            </w:r>
          </w:p>
        </w:tc>
      </w:tr>
      <w:tr>
        <w:trPr/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NT-05</w:t>
            </w:r>
          </w:p>
        </w:tc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生产级域名、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HTTPS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Nginx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systemd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、高可用和备份恢复</w:t>
            </w:r>
          </w:p>
        </w:tc>
        <w:tc>
          <w:tcPr>
            <w:tcW w:w="5008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未识别正式生产部署方式；列为风险与待确认信息</w:t>
            </w:r>
          </w:p>
        </w:tc>
      </w:tr>
      <w:tr>
        <w:trPr/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NT-06</w:t>
            </w:r>
          </w:p>
        </w:tc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未实现的后端认证、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RBAC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、审计日志、设置持久化接口</w:t>
            </w:r>
          </w:p>
        </w:tc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仅测试当前边界和待确认标记，不将其写成已实现能力</w:t>
            </w:r>
          </w:p>
        </w:tc>
      </w:tr>
    </w:tbl>
    <w:p>
      <w:pPr>
        <w:pStyle w:val="Normal"/>
        <w:rPr/>
      </w:pPr>
      <w:r>
        <w:rPr>
          <w:rFonts w:ascii="Microsoft YaHei" w:hAnsi="Microsoft YaHei" w:eastAsia="Microsoft YaHei"/>
          <w:sz w:val="21"/>
        </w:rPr>
      </w:r>
    </w:p>
    <w:p>
      <w:pPr>
        <w:pStyle w:val="Heading1"/>
        <w:spacing w:before="160" w:after="100"/>
        <w:rPr/>
      </w:pPr>
      <w:bookmarkStart w:id="25" w:name="__RefHeading___Toc11314_3531209514"/>
      <w:bookmarkEnd w:id="25"/>
      <w:r>
        <w:rPr>
          <w:rFonts w:eastAsia="Microsoft YaHei" w:cs="Times New Roman" w:ascii="Microsoft YaHei" w:hAnsi="Microsoft YaHei"/>
          <w:b/>
          <w:sz w:val="32"/>
        </w:rPr>
        <w:t xml:space="preserve">6 </w:t>
      </w:r>
      <w:r>
        <w:rPr>
          <w:rFonts w:ascii="Microsoft YaHei" w:hAnsi="Microsoft YaHei" w:cs="Times New Roman" w:eastAsia="Microsoft YaHei"/>
          <w:b/>
          <w:sz w:val="32"/>
        </w:rPr>
        <w:t>测试方法</w:t>
      </w:r>
    </w:p>
    <w:p>
      <w:pPr>
        <w:pStyle w:val="Heading2"/>
        <w:spacing w:before="80" w:after="100"/>
        <w:rPr/>
      </w:pPr>
      <w:bookmarkStart w:id="26" w:name="__RefHeading___Toc11316_3531209514"/>
      <w:bookmarkEnd w:id="26"/>
      <w:r>
        <w:rPr>
          <w:rFonts w:eastAsia="Microsoft YaHei" w:cs="Times New Roman" w:ascii="Microsoft YaHei" w:hAnsi="Microsoft YaHei"/>
          <w:b/>
          <w:sz w:val="28"/>
        </w:rPr>
        <w:t xml:space="preserve">6.1 </w:t>
      </w:r>
      <w:r>
        <w:rPr>
          <w:rFonts w:ascii="Microsoft YaHei" w:hAnsi="Microsoft YaHei" w:cs="Times New Roman" w:eastAsia="Microsoft YaHei"/>
          <w:b/>
          <w:sz w:val="28"/>
        </w:rPr>
        <w:t>功能测试方法</w:t>
      </w:r>
    </w:p>
    <w:p>
      <w:pPr>
        <w:pStyle w:val="Normal"/>
        <w:spacing w:lineRule="auto" w:line="276" w:before="0" w:after="60"/>
        <w:ind w:firstLine="420"/>
        <w:rPr/>
      </w:pPr>
      <w:r>
        <w:rPr>
          <w:rFonts w:ascii="Microsoft YaHei" w:hAnsi="Microsoft YaHei" w:cs="Times New Roman" w:eastAsia="Microsoft YaHei"/>
          <w:b w:val="false"/>
          <w:sz w:val="21"/>
        </w:rPr>
        <w:t>功能测试采用功能分解、场景流程覆盖、等价类划分和边界值分析方法。对每个核心页面和业务流程，优先覆盖正常输入、空输入、非法输入、无数据、接口失败和依赖不可用等场景。</w:t>
      </w:r>
    </w:p>
    <w:p>
      <w:pPr>
        <w:pStyle w:val="Heading2"/>
        <w:spacing w:before="80" w:after="100"/>
        <w:rPr/>
      </w:pPr>
      <w:bookmarkStart w:id="27" w:name="__RefHeading___Toc11318_3531209514"/>
      <w:bookmarkEnd w:id="27"/>
      <w:r>
        <w:rPr>
          <w:rFonts w:eastAsia="Microsoft YaHei" w:cs="Times New Roman" w:ascii="Microsoft YaHei" w:hAnsi="Microsoft YaHei"/>
          <w:b/>
          <w:sz w:val="28"/>
        </w:rPr>
        <w:t xml:space="preserve">6.2 </w:t>
      </w:r>
      <w:r>
        <w:rPr>
          <w:rFonts w:ascii="Microsoft YaHei" w:hAnsi="Microsoft YaHei" w:cs="Times New Roman" w:eastAsia="Microsoft YaHei"/>
          <w:b/>
          <w:sz w:val="28"/>
        </w:rPr>
        <w:t>接口测试方法</w:t>
      </w:r>
    </w:p>
    <w:p>
      <w:pPr>
        <w:pStyle w:val="Normal"/>
        <w:spacing w:lineRule="auto" w:line="276" w:before="0" w:after="60"/>
        <w:ind w:firstLine="420"/>
        <w:rPr/>
      </w:pPr>
      <w:r>
        <w:rPr>
          <w:rFonts w:ascii="Microsoft YaHei" w:hAnsi="Microsoft YaHei" w:cs="Times New Roman" w:eastAsia="Microsoft YaHei"/>
          <w:b w:val="false"/>
          <w:sz w:val="21"/>
        </w:rPr>
        <w:t xml:space="preserve">接口测试采用 </w:t>
      </w:r>
      <w:r>
        <w:rPr>
          <w:rFonts w:eastAsia="Microsoft YaHei" w:cs="Times New Roman" w:ascii="Microsoft YaHei" w:hAnsi="Microsoft YaHei"/>
          <w:b w:val="false"/>
          <w:sz w:val="21"/>
        </w:rPr>
        <w:t>Postman</w:t>
      </w:r>
      <w:r>
        <w:rPr>
          <w:rFonts w:ascii="Microsoft YaHei" w:hAnsi="Microsoft YaHei" w:cs="Times New Roman" w:eastAsia="Microsoft YaHei"/>
          <w:b w:val="false"/>
          <w:sz w:val="21"/>
        </w:rPr>
        <w:t>、</w:t>
      </w:r>
      <w:r>
        <w:rPr>
          <w:rFonts w:eastAsia="Microsoft YaHei" w:cs="Times New Roman" w:ascii="Microsoft YaHei" w:hAnsi="Microsoft YaHei"/>
          <w:b w:val="false"/>
          <w:sz w:val="21"/>
        </w:rPr>
        <w:t>curl</w:t>
      </w:r>
      <w:r>
        <w:rPr>
          <w:rFonts w:ascii="Microsoft YaHei" w:hAnsi="Microsoft YaHei" w:cs="Times New Roman" w:eastAsia="Microsoft YaHei"/>
          <w:b w:val="false"/>
          <w:sz w:val="21"/>
        </w:rPr>
        <w:t xml:space="preserve">、浏览器 </w:t>
      </w:r>
      <w:r>
        <w:rPr>
          <w:rFonts w:eastAsia="Microsoft YaHei" w:cs="Times New Roman" w:ascii="Microsoft YaHei" w:hAnsi="Microsoft YaHei"/>
          <w:b w:val="false"/>
          <w:sz w:val="21"/>
        </w:rPr>
        <w:t xml:space="preserve">fetch </w:t>
      </w:r>
      <w:r>
        <w:rPr>
          <w:rFonts w:ascii="Microsoft YaHei" w:hAnsi="Microsoft YaHei" w:cs="Times New Roman" w:eastAsia="Microsoft YaHei"/>
          <w:b w:val="false"/>
          <w:sz w:val="21"/>
        </w:rPr>
        <w:t xml:space="preserve">或等效工具调用 </w:t>
      </w:r>
      <w:r>
        <w:rPr>
          <w:rFonts w:eastAsia="Microsoft YaHei" w:cs="Times New Roman" w:ascii="Microsoft YaHei" w:hAnsi="Microsoft YaHei"/>
          <w:b w:val="false"/>
          <w:sz w:val="21"/>
        </w:rPr>
        <w:t>HTTP API</w:t>
      </w:r>
      <w:r>
        <w:rPr>
          <w:rFonts w:ascii="Microsoft YaHei" w:hAnsi="Microsoft YaHei" w:cs="Times New Roman" w:eastAsia="Microsoft YaHei"/>
          <w:b w:val="false"/>
          <w:sz w:val="21"/>
        </w:rPr>
        <w:t xml:space="preserve">，覆盖 </w:t>
      </w:r>
      <w:r>
        <w:rPr>
          <w:rFonts w:eastAsia="Microsoft YaHei" w:cs="Times New Roman" w:ascii="Microsoft YaHei" w:hAnsi="Microsoft YaHei"/>
          <w:b w:val="false"/>
          <w:sz w:val="21"/>
        </w:rPr>
        <w:t>2xx</w:t>
      </w:r>
      <w:r>
        <w:rPr>
          <w:rFonts w:ascii="Microsoft YaHei" w:hAnsi="Microsoft YaHei" w:cs="Times New Roman" w:eastAsia="Microsoft YaHei"/>
          <w:b w:val="false"/>
          <w:sz w:val="21"/>
        </w:rPr>
        <w:t>、</w:t>
      </w:r>
      <w:r>
        <w:rPr>
          <w:rFonts w:eastAsia="Microsoft YaHei" w:cs="Times New Roman" w:ascii="Microsoft YaHei" w:hAnsi="Microsoft YaHei"/>
          <w:b w:val="false"/>
          <w:sz w:val="21"/>
        </w:rPr>
        <w:t>400</w:t>
      </w:r>
      <w:r>
        <w:rPr>
          <w:rFonts w:ascii="Microsoft YaHei" w:hAnsi="Microsoft YaHei" w:cs="Times New Roman" w:eastAsia="Microsoft YaHei"/>
          <w:b w:val="false"/>
          <w:sz w:val="21"/>
        </w:rPr>
        <w:t>、</w:t>
      </w:r>
      <w:r>
        <w:rPr>
          <w:rFonts w:eastAsia="Microsoft YaHei" w:cs="Times New Roman" w:ascii="Microsoft YaHei" w:hAnsi="Microsoft YaHei"/>
          <w:b w:val="false"/>
          <w:sz w:val="21"/>
        </w:rPr>
        <w:t xml:space="preserve">404 </w:t>
      </w:r>
      <w:r>
        <w:rPr>
          <w:rFonts w:ascii="Microsoft YaHei" w:hAnsi="Microsoft YaHei" w:cs="Times New Roman" w:eastAsia="Microsoft YaHei"/>
          <w:b w:val="false"/>
          <w:sz w:val="21"/>
        </w:rPr>
        <w:t>和依赖异常响应。接口测试应检查请求参数、响应结构、状态码、错误信息、字段脱敏和前后端字段映射。</w:t>
      </w:r>
    </w:p>
    <w:p>
      <w:pPr>
        <w:pStyle w:val="Heading2"/>
        <w:spacing w:before="80" w:after="100"/>
        <w:rPr/>
      </w:pPr>
      <w:bookmarkStart w:id="28" w:name="__RefHeading___Toc11320_3531209514"/>
      <w:bookmarkEnd w:id="28"/>
      <w:r>
        <w:rPr>
          <w:rFonts w:eastAsia="Microsoft YaHei" w:cs="Times New Roman" w:ascii="Microsoft YaHei" w:hAnsi="Microsoft YaHei"/>
          <w:b/>
          <w:sz w:val="28"/>
        </w:rPr>
        <w:t xml:space="preserve">6.3 </w:t>
      </w:r>
      <w:r>
        <w:rPr>
          <w:rFonts w:ascii="Microsoft YaHei" w:hAnsi="Microsoft YaHei" w:cs="Times New Roman" w:eastAsia="Microsoft YaHei"/>
          <w:b/>
          <w:sz w:val="28"/>
        </w:rPr>
        <w:t>界面测试方法</w:t>
      </w:r>
    </w:p>
    <w:p>
      <w:pPr>
        <w:pStyle w:val="Normal"/>
        <w:spacing w:lineRule="auto" w:line="276" w:before="0" w:after="60"/>
        <w:ind w:firstLine="420"/>
        <w:rPr/>
      </w:pPr>
      <w:r>
        <w:rPr>
          <w:rFonts w:ascii="Microsoft YaHei" w:hAnsi="Microsoft YaHei" w:cs="Times New Roman" w:eastAsia="Microsoft YaHei"/>
          <w:b w:val="false"/>
          <w:sz w:val="21"/>
        </w:rPr>
        <w:t>界面测试采用浏览器手工检查与开发者工具辅助方式，覆盖路由切换、表单校验、加载态、空态、错误态、弹窗、抽屉、</w:t>
      </w:r>
      <w:r>
        <w:rPr>
          <w:rFonts w:eastAsia="Microsoft YaHei" w:cs="Times New Roman" w:ascii="Microsoft YaHei" w:hAnsi="Microsoft YaHei"/>
          <w:b w:val="false"/>
          <w:sz w:val="21"/>
        </w:rPr>
        <w:t>tab</w:t>
      </w:r>
      <w:r>
        <w:rPr>
          <w:rFonts w:ascii="Microsoft YaHei" w:hAnsi="Microsoft YaHei" w:cs="Times New Roman" w:eastAsia="Microsoft YaHei"/>
          <w:b w:val="false"/>
          <w:sz w:val="21"/>
        </w:rPr>
        <w:t>、复制和导出等交互。界面测试不记录执行结果，仅规定检查对象和通过准则。</w:t>
      </w:r>
    </w:p>
    <w:p>
      <w:pPr>
        <w:pStyle w:val="Heading2"/>
        <w:spacing w:before="80" w:after="100"/>
        <w:rPr/>
      </w:pPr>
      <w:bookmarkStart w:id="29" w:name="__RefHeading___Toc11322_3531209514"/>
      <w:bookmarkEnd w:id="29"/>
      <w:r>
        <w:rPr>
          <w:rFonts w:eastAsia="Microsoft YaHei" w:cs="Times New Roman" w:ascii="Microsoft YaHei" w:hAnsi="Microsoft YaHei"/>
          <w:b/>
          <w:sz w:val="28"/>
        </w:rPr>
        <w:t xml:space="preserve">6.4 </w:t>
      </w:r>
      <w:r>
        <w:rPr>
          <w:rFonts w:ascii="Microsoft YaHei" w:hAnsi="Microsoft YaHei" w:cs="Times New Roman" w:eastAsia="Microsoft YaHei"/>
          <w:b/>
          <w:sz w:val="28"/>
        </w:rPr>
        <w:t>配置测试方法</w:t>
      </w:r>
    </w:p>
    <w:p>
      <w:pPr>
        <w:pStyle w:val="Normal"/>
        <w:spacing w:lineRule="auto" w:line="276" w:before="0" w:after="60"/>
        <w:ind w:firstLine="420"/>
        <w:rPr/>
      </w:pPr>
      <w:r>
        <w:rPr>
          <w:rFonts w:ascii="Microsoft YaHei" w:hAnsi="Microsoft YaHei" w:cs="Times New Roman" w:eastAsia="Microsoft YaHei"/>
          <w:b w:val="false"/>
          <w:sz w:val="21"/>
        </w:rPr>
        <w:t xml:space="preserve">配置测试通过调整测试副本中的 </w:t>
      </w:r>
      <w:r>
        <w:rPr>
          <w:rFonts w:eastAsia="Microsoft YaHei" w:cs="Times New Roman" w:ascii="Microsoft YaHei" w:hAnsi="Microsoft YaHei"/>
          <w:b w:val="false"/>
          <w:sz w:val="21"/>
        </w:rPr>
        <w:t>.env</w:t>
      </w:r>
      <w:r>
        <w:rPr>
          <w:rFonts w:ascii="Microsoft YaHei" w:hAnsi="Microsoft YaHei" w:cs="Times New Roman" w:eastAsia="Microsoft YaHei"/>
          <w:b w:val="false"/>
          <w:sz w:val="21"/>
        </w:rPr>
        <w:t>、</w:t>
      </w:r>
      <w:r>
        <w:rPr>
          <w:rFonts w:eastAsia="Microsoft YaHei" w:cs="Times New Roman" w:ascii="Microsoft YaHei" w:hAnsi="Microsoft YaHei"/>
          <w:b w:val="false"/>
          <w:sz w:val="21"/>
        </w:rPr>
        <w:t>api-config.js</w:t>
      </w:r>
      <w:r>
        <w:rPr>
          <w:rFonts w:ascii="Microsoft YaHei" w:hAnsi="Microsoft YaHei" w:cs="Times New Roman" w:eastAsia="Microsoft YaHei"/>
          <w:b w:val="false"/>
          <w:sz w:val="21"/>
        </w:rPr>
        <w:t>、</w:t>
      </w:r>
      <w:r>
        <w:rPr>
          <w:rFonts w:eastAsia="Microsoft YaHei" w:cs="Times New Roman" w:ascii="Microsoft YaHei" w:hAnsi="Microsoft YaHei"/>
          <w:b w:val="false"/>
          <w:sz w:val="21"/>
        </w:rPr>
        <w:t xml:space="preserve">Docker env </w:t>
      </w:r>
      <w:r>
        <w:rPr>
          <w:rFonts w:ascii="Microsoft YaHei" w:hAnsi="Microsoft YaHei" w:cs="Times New Roman" w:eastAsia="Microsoft YaHei"/>
          <w:b w:val="false"/>
          <w:sz w:val="21"/>
        </w:rPr>
        <w:t xml:space="preserve">与 </w:t>
      </w:r>
      <w:r>
        <w:rPr>
          <w:rFonts w:eastAsia="Microsoft YaHei" w:cs="Times New Roman" w:ascii="Microsoft YaHei" w:hAnsi="Microsoft YaHei"/>
          <w:b w:val="false"/>
          <w:sz w:val="21"/>
        </w:rPr>
        <w:t xml:space="preserve">sandbox </w:t>
      </w:r>
      <w:r>
        <w:rPr>
          <w:rFonts w:ascii="Microsoft YaHei" w:hAnsi="Microsoft YaHei" w:cs="Times New Roman" w:eastAsia="Microsoft YaHei"/>
          <w:b w:val="false"/>
          <w:sz w:val="21"/>
        </w:rPr>
        <w:t xml:space="preserve">配置，验证配置项加载、缺省值、端口覆盖、密钥脱敏和异常提示。不得在提交文档中写入真实 </w:t>
      </w:r>
      <w:r>
        <w:rPr>
          <w:rFonts w:eastAsia="Microsoft YaHei" w:cs="Times New Roman" w:ascii="Microsoft YaHei" w:hAnsi="Microsoft YaHei"/>
          <w:b w:val="false"/>
          <w:sz w:val="21"/>
        </w:rPr>
        <w:t>API Key</w:t>
      </w:r>
      <w:r>
        <w:rPr>
          <w:rFonts w:ascii="Microsoft YaHei" w:hAnsi="Microsoft YaHei" w:cs="Times New Roman" w:eastAsia="Microsoft YaHei"/>
          <w:b w:val="false"/>
          <w:sz w:val="21"/>
        </w:rPr>
        <w:t>。</w:t>
      </w:r>
    </w:p>
    <w:p>
      <w:pPr>
        <w:pStyle w:val="Heading2"/>
        <w:spacing w:before="80" w:after="100"/>
        <w:rPr/>
      </w:pPr>
      <w:bookmarkStart w:id="30" w:name="__RefHeading___Toc11324_3531209514"/>
      <w:bookmarkEnd w:id="30"/>
      <w:r>
        <w:rPr>
          <w:rFonts w:eastAsia="Microsoft YaHei" w:cs="Times New Roman" w:ascii="Microsoft YaHei" w:hAnsi="Microsoft YaHei"/>
          <w:b/>
          <w:sz w:val="28"/>
        </w:rPr>
        <w:t xml:space="preserve">6.5 </w:t>
      </w:r>
      <w:r>
        <w:rPr>
          <w:rFonts w:ascii="Microsoft YaHei" w:hAnsi="Microsoft YaHei" w:cs="Times New Roman" w:eastAsia="Microsoft YaHei"/>
          <w:b/>
          <w:sz w:val="28"/>
        </w:rPr>
        <w:t>安装部署测试方法</w:t>
      </w:r>
    </w:p>
    <w:p>
      <w:pPr>
        <w:pStyle w:val="Normal"/>
        <w:spacing w:lineRule="auto" w:line="276" w:before="0" w:after="60"/>
        <w:ind w:firstLine="420"/>
        <w:rPr/>
      </w:pPr>
      <w:r>
        <w:rPr>
          <w:rFonts w:ascii="Microsoft YaHei" w:hAnsi="Microsoft YaHei" w:cs="Times New Roman" w:eastAsia="Microsoft YaHei"/>
          <w:b w:val="false"/>
          <w:sz w:val="21"/>
        </w:rPr>
        <w:t xml:space="preserve">安装部署测试覆盖 </w:t>
      </w:r>
      <w:r>
        <w:rPr>
          <w:rFonts w:eastAsia="Microsoft YaHei" w:cs="Times New Roman" w:ascii="Microsoft YaHei" w:hAnsi="Microsoft YaHei"/>
          <w:b w:val="false"/>
          <w:sz w:val="21"/>
        </w:rPr>
        <w:t>deploy.ps1</w:t>
      </w:r>
      <w:r>
        <w:rPr>
          <w:rFonts w:ascii="Microsoft YaHei" w:hAnsi="Microsoft YaHei" w:cs="Times New Roman" w:eastAsia="Microsoft YaHei"/>
          <w:b w:val="false"/>
          <w:sz w:val="21"/>
        </w:rPr>
        <w:t>、</w:t>
      </w:r>
      <w:r>
        <w:rPr>
          <w:rFonts w:eastAsia="Microsoft YaHei" w:cs="Times New Roman" w:ascii="Microsoft YaHei" w:hAnsi="Microsoft YaHei"/>
          <w:b w:val="false"/>
          <w:sz w:val="21"/>
        </w:rPr>
        <w:t>deploy-all.ps1</w:t>
      </w:r>
      <w:r>
        <w:rPr>
          <w:rFonts w:ascii="Microsoft YaHei" w:hAnsi="Microsoft YaHei" w:cs="Times New Roman" w:eastAsia="Microsoft YaHei"/>
          <w:b w:val="false"/>
          <w:sz w:val="21"/>
        </w:rPr>
        <w:t>、</w:t>
      </w:r>
      <w:r>
        <w:rPr>
          <w:rFonts w:eastAsia="Microsoft YaHei" w:cs="Times New Roman" w:ascii="Microsoft YaHei" w:hAnsi="Microsoft YaHei"/>
          <w:b w:val="false"/>
          <w:sz w:val="21"/>
        </w:rPr>
        <w:t xml:space="preserve">stop-all.ps1 </w:t>
      </w:r>
      <w:r>
        <w:rPr>
          <w:rFonts w:ascii="Microsoft YaHei" w:hAnsi="Microsoft YaHei" w:cs="Times New Roman" w:eastAsia="Microsoft YaHei"/>
          <w:b w:val="false"/>
          <w:sz w:val="21"/>
        </w:rPr>
        <w:t xml:space="preserve">和 </w:t>
      </w:r>
      <w:r>
        <w:rPr>
          <w:rFonts w:eastAsia="Microsoft YaHei" w:cs="Times New Roman" w:ascii="Microsoft YaHei" w:hAnsi="Microsoft YaHei"/>
          <w:b w:val="false"/>
          <w:sz w:val="21"/>
        </w:rPr>
        <w:t>python run.py</w:t>
      </w:r>
      <w:r>
        <w:rPr>
          <w:rFonts w:ascii="Microsoft YaHei" w:hAnsi="Microsoft YaHei" w:cs="Times New Roman" w:eastAsia="Microsoft YaHei"/>
          <w:b w:val="false"/>
          <w:sz w:val="21"/>
        </w:rPr>
        <w:t>。测试时应记录启动入口、端口、健康检查、日志文件和失败提示，不写“已部署成功”等结果性语言。</w:t>
      </w:r>
    </w:p>
    <w:p>
      <w:pPr>
        <w:pStyle w:val="Heading2"/>
        <w:spacing w:before="80" w:after="100"/>
        <w:rPr/>
      </w:pPr>
      <w:bookmarkStart w:id="31" w:name="__RefHeading___Toc11326_3531209514"/>
      <w:bookmarkEnd w:id="31"/>
      <w:r>
        <w:rPr>
          <w:rFonts w:eastAsia="Microsoft YaHei" w:cs="Times New Roman" w:ascii="Microsoft YaHei" w:hAnsi="Microsoft YaHei"/>
          <w:b/>
          <w:sz w:val="28"/>
        </w:rPr>
        <w:t xml:space="preserve">6.6 </w:t>
      </w:r>
      <w:r>
        <w:rPr>
          <w:rFonts w:ascii="Microsoft YaHei" w:hAnsi="Microsoft YaHei" w:cs="Times New Roman" w:eastAsia="Microsoft YaHei"/>
          <w:b/>
          <w:sz w:val="28"/>
        </w:rPr>
        <w:t>异常测试方法</w:t>
      </w:r>
    </w:p>
    <w:p>
      <w:pPr>
        <w:pStyle w:val="Normal"/>
        <w:spacing w:lineRule="auto" w:line="276" w:before="0" w:after="60"/>
        <w:ind w:firstLine="420"/>
        <w:rPr/>
      </w:pPr>
      <w:r>
        <w:rPr>
          <w:rFonts w:ascii="Microsoft YaHei" w:hAnsi="Microsoft YaHei" w:cs="Times New Roman" w:eastAsia="Microsoft YaHei"/>
          <w:b w:val="false"/>
          <w:sz w:val="21"/>
        </w:rPr>
        <w:t xml:space="preserve">异常测试通过构造不支持格式、空文件、非法参数、无效 </w:t>
      </w:r>
      <w:r>
        <w:rPr>
          <w:rFonts w:eastAsia="Microsoft YaHei" w:cs="Times New Roman" w:ascii="Microsoft YaHei" w:hAnsi="Microsoft YaHei"/>
          <w:b w:val="false"/>
          <w:sz w:val="21"/>
        </w:rPr>
        <w:t>collection</w:t>
      </w:r>
      <w:r>
        <w:rPr>
          <w:rFonts w:ascii="Microsoft YaHei" w:hAnsi="Microsoft YaHei" w:cs="Times New Roman" w:eastAsia="Microsoft YaHei"/>
          <w:b w:val="false"/>
          <w:sz w:val="21"/>
        </w:rPr>
        <w:t xml:space="preserve">、空 </w:t>
      </w:r>
      <w:r>
        <w:rPr>
          <w:rFonts w:eastAsia="Microsoft YaHei" w:cs="Times New Roman" w:ascii="Microsoft YaHei" w:hAnsi="Microsoft YaHei"/>
          <w:b w:val="false"/>
          <w:sz w:val="21"/>
        </w:rPr>
        <w:t>query</w:t>
      </w:r>
      <w:r>
        <w:rPr>
          <w:rFonts w:ascii="Microsoft YaHei" w:hAnsi="Microsoft YaHei" w:cs="Times New Roman" w:eastAsia="Microsoft YaHei"/>
          <w:b w:val="false"/>
          <w:sz w:val="21"/>
        </w:rPr>
        <w:t>、模型不可用、</w:t>
      </w:r>
      <w:r>
        <w:rPr>
          <w:rFonts w:eastAsia="Microsoft YaHei" w:cs="Times New Roman" w:ascii="Microsoft YaHei" w:hAnsi="Microsoft YaHei"/>
          <w:b w:val="false"/>
          <w:sz w:val="21"/>
        </w:rPr>
        <w:t xml:space="preserve">Weaviate </w:t>
      </w:r>
      <w:r>
        <w:rPr>
          <w:rFonts w:ascii="Microsoft YaHei" w:hAnsi="Microsoft YaHei" w:cs="Times New Roman" w:eastAsia="Microsoft YaHei"/>
          <w:b w:val="false"/>
          <w:sz w:val="21"/>
        </w:rPr>
        <w:t>不可用、对象不存在、</w:t>
      </w:r>
      <w:r>
        <w:rPr>
          <w:rFonts w:eastAsia="Microsoft YaHei" w:cs="Times New Roman" w:ascii="Microsoft YaHei" w:hAnsi="Microsoft YaHei"/>
          <w:b w:val="false"/>
          <w:sz w:val="21"/>
        </w:rPr>
        <w:t xml:space="preserve">Mermaid </w:t>
      </w:r>
      <w:r>
        <w:rPr>
          <w:rFonts w:ascii="Microsoft YaHei" w:hAnsi="Microsoft YaHei" w:cs="Times New Roman" w:eastAsia="Microsoft YaHei"/>
          <w:b w:val="false"/>
          <w:sz w:val="21"/>
        </w:rPr>
        <w:t xml:space="preserve">失败和 </w:t>
      </w:r>
      <w:r>
        <w:rPr>
          <w:rFonts w:eastAsia="Microsoft YaHei" w:cs="Times New Roman" w:ascii="Microsoft YaHei" w:hAnsi="Microsoft YaHei"/>
          <w:b w:val="false"/>
          <w:sz w:val="21"/>
        </w:rPr>
        <w:t xml:space="preserve">Clipboard </w:t>
      </w:r>
      <w:r>
        <w:rPr>
          <w:rFonts w:ascii="Microsoft YaHei" w:hAnsi="Microsoft YaHei" w:cs="Times New Roman" w:eastAsia="Microsoft YaHei"/>
          <w:b w:val="false"/>
          <w:sz w:val="21"/>
        </w:rPr>
        <w:t>不可用等输入或环境，验证系统的错误响应、前端提示和日志可观测性。</w:t>
      </w:r>
    </w:p>
    <w:p>
      <w:pPr>
        <w:pStyle w:val="Heading2"/>
        <w:spacing w:before="80" w:after="100"/>
        <w:rPr/>
      </w:pPr>
      <w:bookmarkStart w:id="32" w:name="__RefHeading___Toc11328_3531209514"/>
      <w:bookmarkEnd w:id="32"/>
      <w:r>
        <w:rPr>
          <w:rFonts w:eastAsia="Microsoft YaHei" w:cs="Times New Roman" w:ascii="Microsoft YaHei" w:hAnsi="Microsoft YaHei"/>
          <w:b/>
          <w:sz w:val="28"/>
        </w:rPr>
        <w:t xml:space="preserve">6.7 </w:t>
      </w:r>
      <w:r>
        <w:rPr>
          <w:rFonts w:ascii="Microsoft YaHei" w:hAnsi="Microsoft YaHei" w:cs="Times New Roman" w:eastAsia="Microsoft YaHei"/>
          <w:b/>
          <w:sz w:val="28"/>
        </w:rPr>
        <w:t>安全性测试方法</w:t>
      </w:r>
    </w:p>
    <w:p>
      <w:pPr>
        <w:spacing w:lineRule="auto" w:line="276" w:before="0" w:after="60"/>
        <w:ind w:firstLine="420"/>
        <w:rPr/>
      </w:pPr>
      <w:r>
        <w:rPr>
          <w:rFonts w:ascii="Microsoft YaHei" w:hAnsi="Microsoft YaHei" w:eastAsia="Microsoft YaHei"/>
          <w:sz w:val="21"/>
        </w:rPr>
        <w:t>安全性测试采用配置检查、接口响应检查、文件上传合法性检查、访问边界检查和敏感字段检查方法。本文不采用攻击性表述，不设计破坏性测试；登录相关测试仅确认当前静态演示边界和权限体系待确认状态。</w:t>
      </w:r>
    </w:p>
    <w:p>
      <w:pPr>
        <w:pStyle w:val="Heading2"/>
        <w:spacing w:before="80" w:after="100"/>
        <w:rPr/>
      </w:pPr>
      <w:bookmarkStart w:id="33" w:name="__RefHeading___Toc11330_3531209514"/>
      <w:bookmarkEnd w:id="33"/>
      <w:r>
        <w:rPr>
          <w:rFonts w:eastAsia="Microsoft YaHei" w:cs="Times New Roman" w:ascii="Microsoft YaHei" w:hAnsi="Microsoft YaHei"/>
          <w:b/>
          <w:sz w:val="28"/>
        </w:rPr>
        <w:t xml:space="preserve">6.8 </w:t>
      </w:r>
      <w:r>
        <w:rPr>
          <w:rFonts w:ascii="Microsoft YaHei" w:hAnsi="Microsoft YaHei" w:cs="Times New Roman" w:eastAsia="Microsoft YaHei"/>
          <w:b/>
          <w:sz w:val="28"/>
        </w:rPr>
        <w:t>性能测试方法</w:t>
      </w:r>
    </w:p>
    <w:p>
      <w:pPr>
        <w:pStyle w:val="Normal"/>
        <w:spacing w:lineRule="auto" w:line="276" w:before="0" w:after="60"/>
        <w:ind w:firstLine="420"/>
        <w:rPr/>
      </w:pPr>
      <w:r>
        <w:rPr>
          <w:rFonts w:ascii="Microsoft YaHei" w:hAnsi="Microsoft YaHei" w:cs="Times New Roman" w:eastAsia="Microsoft YaHei"/>
          <w:b w:val="false"/>
          <w:sz w:val="21"/>
        </w:rPr>
        <w:t xml:space="preserve">性能测试采用受控样例文档、固定问题、固定 </w:t>
      </w:r>
      <w:r>
        <w:rPr>
          <w:rFonts w:eastAsia="Microsoft YaHei" w:cs="Times New Roman" w:ascii="Microsoft YaHei" w:hAnsi="Microsoft YaHei"/>
          <w:b w:val="false"/>
          <w:sz w:val="21"/>
        </w:rPr>
        <w:t>top_k</w:t>
      </w:r>
      <w:r>
        <w:rPr>
          <w:rFonts w:ascii="Microsoft YaHei" w:hAnsi="Microsoft YaHei" w:cs="Times New Roman" w:eastAsia="Microsoft YaHei"/>
          <w:b w:val="false"/>
          <w:sz w:val="21"/>
        </w:rPr>
        <w:t>、固定场景输出进行耗时和资源观察。由于未提供正式指标，测试时只规定记录口径和约束来源，具体性能指标以项目验收要求或课程要求为准。</w:t>
      </w:r>
    </w:p>
    <w:p>
      <w:pPr>
        <w:pStyle w:val="Heading2"/>
        <w:spacing w:before="80" w:after="100"/>
        <w:rPr/>
      </w:pPr>
      <w:bookmarkStart w:id="34" w:name="__RefHeading___Toc11332_3531209514"/>
      <w:bookmarkEnd w:id="34"/>
      <w:r>
        <w:rPr>
          <w:rFonts w:eastAsia="Microsoft YaHei" w:cs="Times New Roman" w:ascii="Microsoft YaHei" w:hAnsi="Microsoft YaHei"/>
          <w:b/>
          <w:sz w:val="28"/>
        </w:rPr>
        <w:t xml:space="preserve">6.9 </w:t>
      </w:r>
      <w:r>
        <w:rPr>
          <w:rFonts w:ascii="Microsoft YaHei" w:hAnsi="Microsoft YaHei" w:cs="Times New Roman" w:eastAsia="Microsoft YaHei"/>
          <w:b/>
          <w:sz w:val="28"/>
        </w:rPr>
        <w:t>回归测试方法</w:t>
      </w:r>
    </w:p>
    <w:p>
      <w:pPr>
        <w:pStyle w:val="Normal"/>
        <w:spacing w:lineRule="auto" w:line="276" w:before="0" w:after="60"/>
        <w:ind w:firstLine="420"/>
        <w:rPr/>
      </w:pPr>
      <w:r>
        <w:rPr>
          <w:rFonts w:ascii="Microsoft YaHei" w:hAnsi="Microsoft YaHei" w:cs="Times New Roman" w:eastAsia="Microsoft YaHei"/>
          <w:b w:val="false"/>
          <w:sz w:val="21"/>
        </w:rPr>
        <w:t>回归测试采用固定演示数据和固定主流程，覆盖上传、问答、引用原文、设计辅助、历史保存、删除、部署脚本和中文检索。每次前端字段映射、后端接口、文档解析、检索、部署脚本或配置变更后执行对应回归项。</w:t>
      </w:r>
    </w:p>
    <w:p>
      <w:pPr>
        <w:pStyle w:val="Heading1"/>
        <w:spacing w:before="160" w:after="100"/>
        <w:rPr/>
      </w:pPr>
      <w:bookmarkStart w:id="35" w:name="__RefHeading___Toc11334_3531209514"/>
      <w:bookmarkEnd w:id="35"/>
      <w:r>
        <w:rPr>
          <w:rFonts w:eastAsia="Microsoft YaHei" w:cs="Times New Roman" w:ascii="Microsoft YaHei" w:hAnsi="Microsoft YaHei"/>
          <w:b/>
          <w:sz w:val="32"/>
        </w:rPr>
        <w:t xml:space="preserve">7 </w:t>
      </w:r>
      <w:r>
        <w:rPr>
          <w:rFonts w:ascii="Microsoft YaHei" w:hAnsi="Microsoft YaHei" w:cs="Times New Roman" w:eastAsia="Microsoft YaHei"/>
          <w:b/>
          <w:sz w:val="32"/>
        </w:rPr>
        <w:t>测试环境</w:t>
      </w:r>
    </w:p>
    <w:p>
      <w:pPr>
        <w:pStyle w:val="Heading2"/>
        <w:spacing w:before="80" w:after="100"/>
        <w:rPr/>
      </w:pPr>
      <w:bookmarkStart w:id="36" w:name="__RefHeading___Toc11336_3531209514"/>
      <w:bookmarkEnd w:id="36"/>
      <w:r>
        <w:rPr>
          <w:rFonts w:eastAsia="Microsoft YaHei" w:cs="Times New Roman" w:ascii="Microsoft YaHei" w:hAnsi="Microsoft YaHei"/>
          <w:b/>
          <w:sz w:val="28"/>
        </w:rPr>
        <w:t xml:space="preserve">7.1 </w:t>
      </w:r>
      <w:r>
        <w:rPr>
          <w:rFonts w:ascii="Microsoft YaHei" w:hAnsi="Microsoft YaHei" w:cs="Times New Roman" w:eastAsia="Microsoft YaHei"/>
          <w:b/>
          <w:sz w:val="28"/>
        </w:rPr>
        <w:t>硬件环境</w:t>
      </w:r>
    </w:p>
    <w:tbl>
      <w:tblPr>
        <w:tblStyle w:val="TableGrid"/>
        <w:tblW w:w="15024" w:type="dxa"/>
        <w:jc w:val="center"/>
        <w:tblInd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noHBand="0" w:noVBand="1" w:firstColumn="1" w:lastRow="0" w:lastColumn="0" w:firstRow="1"/>
      </w:tblPr>
      <w:tblGrid>
        <w:gridCol w:w="3756"/>
        <w:gridCol w:w="3756"/>
        <w:gridCol w:w="3756"/>
        <w:gridCol w:w="3755"/>
      </w:tblGrid>
      <w:tr>
        <w:trPr>
          <w:tblHeader w:val="true"/>
        </w:trPr>
        <w:tc>
          <w:tcPr>
            <w:tcW w:w="3756" w:type="dxa"/>
            <w:tcBorders/>
            <w:shd w:fill="D9EAF7"/>
            <w:vAlign w:val="center"/>
          </w:tcPr>
          <w:p>
            <w:pPr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环境项</w:t>
            </w:r>
          </w:p>
        </w:tc>
        <w:tc>
          <w:tcPr>
            <w:tcW w:w="3756" w:type="dxa"/>
            <w:tcBorders/>
            <w:shd w:fill="D9EAF7"/>
            <w:vAlign w:val="center"/>
          </w:tcPr>
          <w:p>
            <w:pPr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配置/位置</w:t>
            </w:r>
          </w:p>
        </w:tc>
        <w:tc>
          <w:tcPr>
            <w:tcW w:w="3756" w:type="dxa"/>
            <w:tcBorders/>
            <w:shd w:fill="D9EAF7"/>
            <w:vAlign w:val="center"/>
          </w:tcPr>
          <w:p>
            <w:pPr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用途</w:t>
            </w:r>
          </w:p>
        </w:tc>
        <w:tc>
          <w:tcPr>
            <w:tcW w:w="3755" w:type="dxa"/>
            <w:tcBorders/>
            <w:shd w:fill="D9EAF7"/>
            <w:vAlign w:val="center"/>
          </w:tcPr>
          <w:p>
            <w:pPr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执行环境记录</w:t>
            </w:r>
          </w:p>
        </w:tc>
      </w:tr>
      <w:tr>
        <w:trPr/>
        <w:tc>
          <w:tcPr>
            <w:tcW w:w="3756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客户端/测试机</w:t>
            </w:r>
          </w:p>
        </w:tc>
        <w:tc>
          <w:tcPr>
            <w:tcW w:w="3756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Windows 个人计算机或课程演示环境</w:t>
            </w:r>
          </w:p>
        </w:tc>
        <w:tc>
          <w:tcPr>
            <w:tcW w:w="3756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用于浏览器访问、前端测试、轻量部署和脚本执行</w:t>
            </w:r>
          </w:p>
        </w:tc>
        <w:tc>
          <w:tcPr>
            <w:tcW w:w="3755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测试执行时记录 CPU、内存与系统版本；本大纲不限定硬件型号</w:t>
            </w:r>
          </w:p>
        </w:tc>
      </w:tr>
      <w:tr>
        <w:trPr/>
        <w:tc>
          <w:tcPr>
            <w:tcW w:w="3756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本地磁盘</w:t>
            </w:r>
          </w:p>
        </w:tc>
        <w:tc>
          <w:tcPr>
            <w:tcW w:w="3756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SuperRAG、SuperRAG/dify-lite/data、SuperRAG/dify-lite/data/uploads、SuperRAG/data/deploy-logs</w:t>
            </w:r>
          </w:p>
        </w:tc>
        <w:tc>
          <w:tcPr>
            <w:tcW w:w="3756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保存源码、SQLite、上传文件和日志</w:t>
            </w:r>
          </w:p>
        </w:tc>
        <w:tc>
          <w:tcPr>
            <w:tcW w:w="3755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需满足源码、SQLite、上传文件、Docker volumes 与日志写入</w:t>
            </w:r>
          </w:p>
        </w:tc>
      </w:tr>
      <w:tr>
        <w:trPr/>
        <w:tc>
          <w:tcPr>
            <w:tcW w:w="3756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网络环境</w:t>
            </w:r>
          </w:p>
        </w:tc>
        <w:tc>
          <w:tcPr>
            <w:tcW w:w="3756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本机回环地址 127.0.0.1；外部模型服务网络</w:t>
            </w:r>
          </w:p>
        </w:tc>
        <w:tc>
          <w:tcPr>
            <w:tcW w:w="3756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访问 8088、本地 Docker 端口和模型 API</w:t>
            </w:r>
          </w:p>
        </w:tc>
        <w:tc>
          <w:tcPr>
            <w:tcW w:w="3755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本机回环可用；外部模型服务需具备可访问网络与代理配置</w:t>
            </w:r>
          </w:p>
        </w:tc>
      </w:tr>
    </w:tbl>
    <w:p>
      <w:pPr>
        <w:pStyle w:val="Normal"/>
        <w:rPr/>
      </w:pPr>
      <w:r>
        <w:rPr>
          <w:rFonts w:ascii="Microsoft YaHei" w:hAnsi="Microsoft YaHei" w:eastAsia="Microsoft YaHei"/>
          <w:sz w:val="21"/>
        </w:rPr>
      </w:r>
    </w:p>
    <w:p>
      <w:pPr>
        <w:pStyle w:val="Heading2"/>
        <w:spacing w:before="80" w:after="100"/>
        <w:rPr/>
      </w:pPr>
      <w:bookmarkStart w:id="37" w:name="__RefHeading___Toc11338_3531209514"/>
      <w:bookmarkEnd w:id="37"/>
      <w:r>
        <w:rPr>
          <w:rFonts w:eastAsia="Microsoft YaHei" w:cs="Times New Roman" w:ascii="Microsoft YaHei" w:hAnsi="Microsoft YaHei"/>
          <w:b/>
          <w:sz w:val="28"/>
        </w:rPr>
        <w:t xml:space="preserve">7.2 </w:t>
      </w:r>
      <w:r>
        <w:rPr>
          <w:rFonts w:ascii="Microsoft YaHei" w:hAnsi="Microsoft YaHei" w:cs="Times New Roman" w:eastAsia="Microsoft YaHei"/>
          <w:b/>
          <w:sz w:val="28"/>
        </w:rPr>
        <w:t>软件环境</w:t>
      </w:r>
    </w:p>
    <w:tbl>
      <w:tblPr>
        <w:tblStyle w:val="TableGrid"/>
        <w:tblW w:w="15024" w:type="dxa"/>
        <w:jc w:val="center"/>
        <w:tblInd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noHBand="0" w:noVBand="1" w:firstColumn="1" w:lastRow="0" w:lastColumn="0" w:firstRow="1"/>
      </w:tblPr>
      <w:tblGrid>
        <w:gridCol w:w="3756"/>
        <w:gridCol w:w="3756"/>
        <w:gridCol w:w="3756"/>
        <w:gridCol w:w="3755"/>
      </w:tblGrid>
      <w:tr>
        <w:trPr>
          <w:tblHeader w:val="true"/>
        </w:trPr>
        <w:tc>
          <w:tcPr>
            <w:tcW w:w="3756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6"/>
                <w:szCs w:val="22"/>
                <w:lang w:val="en-US" w:eastAsia="en-US" w:bidi="ar-SA"/>
              </w:rPr>
              <w:t>软件项</w:t>
            </w:r>
          </w:p>
        </w:tc>
        <w:tc>
          <w:tcPr>
            <w:tcW w:w="3756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6"/>
                <w:szCs w:val="22"/>
                <w:lang w:val="en-US" w:eastAsia="en-US" w:bidi="ar-SA"/>
              </w:rPr>
              <w:t>当前识别</w:t>
            </w:r>
          </w:p>
        </w:tc>
        <w:tc>
          <w:tcPr>
            <w:tcW w:w="3756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6"/>
                <w:szCs w:val="22"/>
                <w:lang w:val="en-US" w:eastAsia="en-US" w:bidi="ar-SA"/>
              </w:rPr>
              <w:t>用途</w:t>
            </w:r>
          </w:p>
        </w:tc>
        <w:tc>
          <w:tcPr>
            <w:tcW w:w="375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6"/>
                <w:szCs w:val="22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3756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操作系统</w:t>
            </w:r>
          </w:p>
        </w:tc>
        <w:tc>
          <w:tcPr>
            <w:tcW w:w="3756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Windows</w:t>
            </w:r>
          </w:p>
        </w:tc>
        <w:tc>
          <w:tcPr>
            <w:tcW w:w="3756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运行 PowerShell/CMD、浏览器和 Docker Desktop</w:t>
            </w:r>
          </w:p>
        </w:tc>
        <w:tc>
          <w:tcPr>
            <w:tcW w:w="3755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具体版本由测试执行环境记录</w:t>
            </w:r>
          </w:p>
        </w:tc>
      </w:tr>
      <w:tr>
        <w:trPr/>
        <w:tc>
          <w:tcPr>
            <w:tcW w:w="3756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浏览器</w:t>
            </w:r>
          </w:p>
        </w:tc>
        <w:tc>
          <w:tcPr>
            <w:tcW w:w="3756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Chrome/Edge</w:t>
            </w:r>
          </w:p>
        </w:tc>
        <w:tc>
          <w:tcPr>
            <w:tcW w:w="3756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访问 SuperRAG 第一版前端</w:t>
            </w:r>
          </w:p>
        </w:tc>
        <w:tc>
          <w:tcPr>
            <w:tcW w:w="3755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具体版本由测试执行环境记录</w:t>
            </w:r>
          </w:p>
        </w:tc>
      </w:tr>
      <w:tr>
        <w:trPr/>
        <w:tc>
          <w:tcPr>
            <w:tcW w:w="3756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Python</w:t>
            </w:r>
          </w:p>
        </w:tc>
        <w:tc>
          <w:tcPr>
            <w:tcW w:w="3756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Python 3</w:t>
            </w:r>
          </w:p>
        </w:tc>
        <w:tc>
          <w:tcPr>
            <w:tcW w:w="3756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运行 dify-lite Flask 后端</w:t>
            </w:r>
          </w:p>
        </w:tc>
        <w:tc>
          <w:tcPr>
            <w:tcW w:w="3755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依赖以 SuperRAG/dify-lite 运行环境为准，具体版本由测试执行环境记录</w:t>
            </w:r>
          </w:p>
        </w:tc>
      </w:tr>
      <w:tr>
        <w:trPr/>
        <w:tc>
          <w:tcPr>
            <w:tcW w:w="37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数据库</w:t>
            </w:r>
          </w:p>
        </w:tc>
        <w:tc>
          <w:tcPr>
            <w:tcW w:w="37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SQLite</w:t>
            </w:r>
          </w:p>
        </w:tc>
        <w:tc>
          <w:tcPr>
            <w:tcW w:w="37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保存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collections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documents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chunks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artifacts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等本地数据</w:t>
            </w:r>
          </w:p>
        </w:tc>
        <w:tc>
          <w:tcPr>
            <w:tcW w:w="37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表结构以项目代码为准</w:t>
            </w:r>
          </w:p>
        </w:tc>
      </w:tr>
      <w:tr>
        <w:trPr/>
        <w:tc>
          <w:tcPr>
            <w:tcW w:w="3756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Docker / Docker Compose</w:t>
            </w:r>
          </w:p>
        </w:tc>
        <w:tc>
          <w:tcPr>
            <w:tcW w:w="3756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全栈模式需要</w:t>
            </w:r>
          </w:p>
        </w:tc>
        <w:tc>
          <w:tcPr>
            <w:tcW w:w="3756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启动 Dify Web/API、Weaviate、Redis、Postgres、Plugin、Sandbox</w:t>
            </w:r>
          </w:p>
        </w:tc>
        <w:tc>
          <w:tcPr>
            <w:tcW w:w="3755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具体版本由全栈部署测试记录</w:t>
            </w:r>
          </w:p>
        </w:tc>
      </w:tr>
      <w:tr>
        <w:trPr/>
        <w:tc>
          <w:tcPr>
            <w:tcW w:w="3756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模型服务</w:t>
            </w:r>
          </w:p>
        </w:tc>
        <w:tc>
          <w:tcPr>
            <w:tcW w:w="3756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OpenAI-compatible 模型服务</w:t>
            </w:r>
          </w:p>
        </w:tc>
        <w:tc>
          <w:tcPr>
            <w:tcW w:w="3756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问答、培训、交接、设计输出</w:t>
            </w:r>
          </w:p>
        </w:tc>
        <w:tc>
          <w:tcPr>
            <w:tcW w:w="3755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地址、模型名和 Key 在 SuperRAG/dify-lite/.env 配置；提交文档不记录明文 Key</w:t>
            </w:r>
          </w:p>
        </w:tc>
      </w:tr>
    </w:tbl>
    <w:p>
      <w:pPr>
        <w:pStyle w:val="Normal"/>
        <w:rPr/>
      </w:pPr>
      <w:r>
        <w:rPr>
          <w:rFonts w:ascii="Microsoft YaHei" w:hAnsi="Microsoft YaHei" w:eastAsia="Microsoft YaHei"/>
          <w:sz w:val="21"/>
        </w:rPr>
      </w:r>
    </w:p>
    <w:p>
      <w:pPr>
        <w:pStyle w:val="Heading2"/>
        <w:spacing w:before="80" w:after="100"/>
        <w:rPr/>
      </w:pPr>
      <w:bookmarkStart w:id="38" w:name="__RefHeading___Toc11340_3531209514"/>
      <w:bookmarkEnd w:id="38"/>
      <w:r>
        <w:rPr>
          <w:rFonts w:eastAsia="Microsoft YaHei" w:cs="Times New Roman" w:ascii="Microsoft YaHei" w:hAnsi="Microsoft YaHei"/>
          <w:b/>
          <w:sz w:val="28"/>
        </w:rPr>
        <w:t xml:space="preserve">7.3 </w:t>
      </w:r>
      <w:r>
        <w:rPr>
          <w:rFonts w:ascii="Microsoft YaHei" w:hAnsi="Microsoft YaHei" w:cs="Times New Roman" w:eastAsia="Microsoft YaHei"/>
          <w:b/>
          <w:sz w:val="28"/>
        </w:rPr>
        <w:t>网络环境</w:t>
      </w:r>
    </w:p>
    <w:p>
      <w:pPr>
        <w:pStyle w:val="Normal"/>
        <w:spacing w:lineRule="auto" w:line="276" w:before="0" w:after="60"/>
        <w:ind w:firstLine="420"/>
        <w:rPr/>
      </w:pPr>
      <w:r>
        <w:rPr>
          <w:rFonts w:ascii="Microsoft YaHei" w:hAnsi="Microsoft YaHei" w:cs="Times New Roman" w:eastAsia="Microsoft YaHei"/>
          <w:b w:val="false"/>
          <w:sz w:val="21"/>
        </w:rPr>
        <w:t xml:space="preserve">轻量模式主要使用本机 </w:t>
      </w:r>
      <w:r>
        <w:rPr>
          <w:rFonts w:eastAsia="Microsoft YaHei" w:cs="Times New Roman" w:ascii="Microsoft YaHei" w:hAnsi="Microsoft YaHei"/>
          <w:b w:val="false"/>
          <w:sz w:val="21"/>
        </w:rPr>
        <w:t>127.0.0.1:8088</w:t>
      </w:r>
      <w:r>
        <w:rPr>
          <w:rFonts w:ascii="Microsoft YaHei" w:hAnsi="Microsoft YaHei" w:cs="Times New Roman" w:eastAsia="Microsoft YaHei"/>
          <w:b w:val="false"/>
          <w:sz w:val="21"/>
        </w:rPr>
        <w:t xml:space="preserve">。全栈模式涉及 </w:t>
      </w:r>
      <w:r>
        <w:rPr>
          <w:rFonts w:eastAsia="Microsoft YaHei" w:cs="Times New Roman" w:ascii="Microsoft YaHei" w:hAnsi="Microsoft YaHei"/>
          <w:b w:val="false"/>
          <w:sz w:val="21"/>
        </w:rPr>
        <w:t>Dify Web 3000</w:t>
      </w:r>
      <w:r>
        <w:rPr>
          <w:rFonts w:ascii="Microsoft YaHei" w:hAnsi="Microsoft YaHei" w:cs="Times New Roman" w:eastAsia="Microsoft YaHei"/>
          <w:b w:val="false"/>
          <w:sz w:val="21"/>
        </w:rPr>
        <w:t>、</w:t>
      </w:r>
      <w:r>
        <w:rPr>
          <w:rFonts w:eastAsia="Microsoft YaHei" w:cs="Times New Roman" w:ascii="Microsoft YaHei" w:hAnsi="Microsoft YaHei"/>
          <w:b w:val="false"/>
          <w:sz w:val="21"/>
        </w:rPr>
        <w:t>Dify API 5001</w:t>
      </w:r>
      <w:r>
        <w:rPr>
          <w:rFonts w:ascii="Microsoft YaHei" w:hAnsi="Microsoft YaHei" w:cs="Times New Roman" w:eastAsia="Microsoft YaHei"/>
          <w:b w:val="false"/>
          <w:sz w:val="21"/>
        </w:rPr>
        <w:t>、</w:t>
      </w:r>
      <w:r>
        <w:rPr>
          <w:rFonts w:eastAsia="Microsoft YaHei" w:cs="Times New Roman" w:ascii="Microsoft YaHei" w:hAnsi="Microsoft YaHei"/>
          <w:b w:val="false"/>
          <w:sz w:val="21"/>
        </w:rPr>
        <w:t>Weaviate 8080</w:t>
      </w:r>
      <w:r>
        <w:rPr>
          <w:rFonts w:ascii="Microsoft YaHei" w:hAnsi="Microsoft YaHei" w:cs="Times New Roman" w:eastAsia="Microsoft YaHei"/>
          <w:b w:val="false"/>
          <w:sz w:val="21"/>
        </w:rPr>
        <w:t>、</w:t>
      </w:r>
      <w:r>
        <w:rPr>
          <w:rFonts w:eastAsia="Microsoft YaHei" w:cs="Times New Roman" w:ascii="Microsoft YaHei" w:hAnsi="Microsoft YaHei"/>
          <w:b w:val="false"/>
          <w:sz w:val="21"/>
        </w:rPr>
        <w:t xml:space="preserve">dify-lite 8088 </w:t>
      </w:r>
      <w:r>
        <w:rPr>
          <w:rFonts w:ascii="Microsoft YaHei" w:hAnsi="Microsoft YaHei" w:cs="Times New Roman" w:eastAsia="Microsoft YaHei"/>
          <w:b w:val="false"/>
          <w:sz w:val="21"/>
        </w:rPr>
        <w:t xml:space="preserve">等端口。外部模型服务需要测试机能够访问 </w:t>
      </w:r>
      <w:r>
        <w:rPr>
          <w:rFonts w:eastAsia="Microsoft YaHei" w:cs="Times New Roman" w:ascii="Microsoft YaHei" w:hAnsi="Microsoft YaHei"/>
          <w:b w:val="false"/>
          <w:sz w:val="21"/>
        </w:rPr>
        <w:t xml:space="preserve">DIFY_LITE_MODEL_BASE_URL </w:t>
      </w:r>
      <w:r>
        <w:rPr>
          <w:rFonts w:ascii="Microsoft YaHei" w:hAnsi="Microsoft YaHei" w:cs="Times New Roman" w:eastAsia="Microsoft YaHei"/>
          <w:b w:val="false"/>
          <w:sz w:val="21"/>
        </w:rPr>
        <w:t>指向的服务。</w:t>
      </w:r>
    </w:p>
    <w:p>
      <w:pPr>
        <w:pStyle w:val="Heading2"/>
        <w:spacing w:before="80" w:after="100"/>
        <w:rPr/>
      </w:pPr>
      <w:bookmarkStart w:id="39" w:name="__RefHeading___Toc11342_3531209514"/>
      <w:bookmarkEnd w:id="39"/>
      <w:r>
        <w:rPr>
          <w:rFonts w:eastAsia="Microsoft YaHei" w:cs="Times New Roman" w:ascii="Microsoft YaHei" w:hAnsi="Microsoft YaHei"/>
          <w:b/>
          <w:sz w:val="28"/>
        </w:rPr>
        <w:t xml:space="preserve">7.4 </w:t>
      </w:r>
      <w:r>
        <w:rPr>
          <w:rFonts w:ascii="Microsoft YaHei" w:hAnsi="Microsoft YaHei" w:cs="Times New Roman" w:eastAsia="Microsoft YaHei"/>
          <w:b/>
          <w:sz w:val="28"/>
        </w:rPr>
        <w:t>数据环境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ascii="Microsoft YaHei" w:hAnsi="Microsoft YaHei" w:cs="Times New Roman" w:eastAsia="Microsoft YaHei"/>
          <w:sz w:val="21"/>
        </w:rPr>
        <w:t>文档导入测试数据：</w:t>
      </w:r>
      <w:r>
        <w:rPr>
          <w:rFonts w:eastAsia="Microsoft YaHei" w:cs="Times New Roman" w:ascii="Microsoft YaHei" w:hAnsi="Microsoft YaHei"/>
          <w:sz w:val="21"/>
        </w:rPr>
        <w:t>md</w:t>
      </w:r>
      <w:r>
        <w:rPr>
          <w:rFonts w:ascii="Microsoft YaHei" w:hAnsi="Microsoft YaHei" w:cs="Times New Roman" w:eastAsia="Microsoft YaHei"/>
          <w:sz w:val="21"/>
        </w:rPr>
        <w:t>、</w:t>
      </w:r>
      <w:r>
        <w:rPr>
          <w:rFonts w:eastAsia="Microsoft YaHei" w:cs="Times New Roman" w:ascii="Microsoft YaHei" w:hAnsi="Microsoft YaHei"/>
          <w:sz w:val="21"/>
        </w:rPr>
        <w:t>txt</w:t>
      </w:r>
      <w:r>
        <w:rPr>
          <w:rFonts w:ascii="Microsoft YaHei" w:hAnsi="Microsoft YaHei" w:cs="Times New Roman" w:eastAsia="Microsoft YaHei"/>
          <w:sz w:val="21"/>
        </w:rPr>
        <w:t>、</w:t>
      </w:r>
      <w:r>
        <w:rPr>
          <w:rFonts w:eastAsia="Microsoft YaHei" w:cs="Times New Roman" w:ascii="Microsoft YaHei" w:hAnsi="Microsoft YaHei"/>
          <w:sz w:val="21"/>
        </w:rPr>
        <w:t>csv</w:t>
      </w:r>
      <w:r>
        <w:rPr>
          <w:rFonts w:ascii="Microsoft YaHei" w:hAnsi="Microsoft YaHei" w:cs="Times New Roman" w:eastAsia="Microsoft YaHei"/>
          <w:sz w:val="21"/>
        </w:rPr>
        <w:t>、</w:t>
      </w:r>
      <w:r>
        <w:rPr>
          <w:rFonts w:eastAsia="Microsoft YaHei" w:cs="Times New Roman" w:ascii="Microsoft YaHei" w:hAnsi="Microsoft YaHei"/>
          <w:sz w:val="21"/>
        </w:rPr>
        <w:t>json</w:t>
      </w:r>
      <w:r>
        <w:rPr>
          <w:rFonts w:ascii="Microsoft YaHei" w:hAnsi="Microsoft YaHei" w:cs="Times New Roman" w:eastAsia="Microsoft YaHei"/>
          <w:sz w:val="21"/>
        </w:rPr>
        <w:t>、</w:t>
      </w:r>
      <w:r>
        <w:rPr>
          <w:rFonts w:eastAsia="Microsoft YaHei" w:cs="Times New Roman" w:ascii="Microsoft YaHei" w:hAnsi="Microsoft YaHei"/>
          <w:sz w:val="21"/>
        </w:rPr>
        <w:t>html</w:t>
      </w:r>
      <w:r>
        <w:rPr>
          <w:rFonts w:ascii="Microsoft YaHei" w:hAnsi="Microsoft YaHei" w:cs="Times New Roman" w:eastAsia="Microsoft YaHei"/>
          <w:sz w:val="21"/>
        </w:rPr>
        <w:t>、</w:t>
      </w:r>
      <w:r>
        <w:rPr>
          <w:rFonts w:eastAsia="Microsoft YaHei" w:cs="Times New Roman" w:ascii="Microsoft YaHei" w:hAnsi="Microsoft YaHei"/>
          <w:sz w:val="21"/>
        </w:rPr>
        <w:t>docx</w:t>
      </w:r>
      <w:r>
        <w:rPr>
          <w:rFonts w:ascii="Microsoft YaHei" w:hAnsi="Microsoft YaHei" w:cs="Times New Roman" w:eastAsia="Microsoft YaHei"/>
          <w:sz w:val="21"/>
        </w:rPr>
        <w:t>、</w:t>
      </w:r>
      <w:r>
        <w:rPr>
          <w:rFonts w:eastAsia="Microsoft YaHei" w:cs="Times New Roman" w:ascii="Microsoft YaHei" w:hAnsi="Microsoft YaHei"/>
          <w:sz w:val="21"/>
        </w:rPr>
        <w:t xml:space="preserve">pptx </w:t>
      </w:r>
      <w:r>
        <w:rPr>
          <w:rFonts w:ascii="Microsoft YaHei" w:hAnsi="Microsoft YaHei" w:cs="Times New Roman" w:eastAsia="Microsoft YaHei"/>
          <w:sz w:val="21"/>
        </w:rPr>
        <w:t>示例文件。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ascii="Microsoft YaHei" w:hAnsi="Microsoft YaHei" w:cs="Times New Roman" w:eastAsia="Microsoft YaHei"/>
          <w:sz w:val="21"/>
        </w:rPr>
        <w:t>异常格式测试数据：</w:t>
      </w:r>
      <w:r>
        <w:rPr>
          <w:rFonts w:eastAsia="Microsoft YaHei" w:cs="Times New Roman" w:ascii="Microsoft YaHei" w:hAnsi="Microsoft YaHei"/>
          <w:sz w:val="21"/>
        </w:rPr>
        <w:t>pdf</w:t>
      </w:r>
      <w:r>
        <w:rPr>
          <w:rFonts w:ascii="Microsoft YaHei" w:hAnsi="Microsoft YaHei" w:cs="Times New Roman" w:eastAsia="Microsoft YaHei"/>
          <w:sz w:val="21"/>
        </w:rPr>
        <w:t>、</w:t>
      </w:r>
      <w:r>
        <w:rPr>
          <w:rFonts w:eastAsia="Microsoft YaHei" w:cs="Times New Roman" w:ascii="Microsoft YaHei" w:hAnsi="Microsoft YaHei"/>
          <w:sz w:val="21"/>
        </w:rPr>
        <w:t>xls/xlsx</w:t>
      </w:r>
      <w:r>
        <w:rPr>
          <w:rFonts w:ascii="Microsoft YaHei" w:hAnsi="Microsoft YaHei" w:cs="Times New Roman" w:eastAsia="Microsoft YaHei"/>
          <w:sz w:val="21"/>
        </w:rPr>
        <w:t xml:space="preserve">、旧版 </w:t>
      </w:r>
      <w:r>
        <w:rPr>
          <w:rFonts w:eastAsia="Microsoft YaHei" w:cs="Times New Roman" w:ascii="Microsoft YaHei" w:hAnsi="Microsoft YaHei"/>
          <w:sz w:val="21"/>
        </w:rPr>
        <w:t>doc/ppt</w:t>
      </w:r>
      <w:r>
        <w:rPr>
          <w:rFonts w:ascii="Microsoft YaHei" w:hAnsi="Microsoft YaHei" w:cs="Times New Roman" w:eastAsia="Microsoft YaHei"/>
          <w:sz w:val="21"/>
        </w:rPr>
        <w:t xml:space="preserve">、空文件、损坏 </w:t>
      </w:r>
      <w:r>
        <w:rPr>
          <w:rFonts w:eastAsia="Microsoft YaHei" w:cs="Times New Roman" w:ascii="Microsoft YaHei" w:hAnsi="Microsoft YaHei"/>
          <w:sz w:val="21"/>
        </w:rPr>
        <w:t>docx/pptx</w:t>
      </w:r>
      <w:r>
        <w:rPr>
          <w:rFonts w:ascii="Microsoft YaHei" w:hAnsi="Microsoft YaHei" w:cs="Times New Roman" w:eastAsia="Microsoft YaHei"/>
          <w:sz w:val="21"/>
        </w:rPr>
        <w:t>。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ascii="Microsoft YaHei" w:hAnsi="Microsoft YaHei" w:cs="Times New Roman" w:eastAsia="Microsoft YaHei"/>
          <w:sz w:val="21"/>
        </w:rPr>
        <w:t>业务演示数据：</w:t>
      </w:r>
      <w:r>
        <w:rPr>
          <w:rFonts w:eastAsia="Microsoft YaHei" w:cs="Times New Roman" w:ascii="Microsoft YaHei" w:hAnsi="Microsoft YaHei"/>
          <w:sz w:val="21"/>
        </w:rPr>
        <w:t xml:space="preserve">CRM </w:t>
      </w:r>
      <w:r>
        <w:rPr>
          <w:rFonts w:ascii="Microsoft YaHei" w:hAnsi="Microsoft YaHei" w:cs="Times New Roman" w:eastAsia="Microsoft YaHei"/>
          <w:sz w:val="21"/>
        </w:rPr>
        <w:t>演示文档、</w:t>
      </w:r>
      <w:r>
        <w:rPr>
          <w:rFonts w:eastAsia="Microsoft YaHei" w:cs="Times New Roman" w:ascii="Microsoft YaHei" w:hAnsi="Microsoft YaHei"/>
          <w:sz w:val="21"/>
        </w:rPr>
        <w:t xml:space="preserve">SuperRAG </w:t>
      </w:r>
      <w:r>
        <w:rPr>
          <w:rFonts w:ascii="Microsoft YaHei" w:hAnsi="Microsoft YaHei" w:cs="Times New Roman" w:eastAsia="Microsoft YaHei"/>
          <w:sz w:val="21"/>
        </w:rPr>
        <w:t>示例文档或项目组提供的受控企业文档。</w:t>
      </w:r>
    </w:p>
    <w:p>
      <w:pPr>
        <w:pStyle w:val="ListBullet"/>
        <w:numPr>
          <w:ilvl w:val="0"/>
          <w:numId w:val="1"/>
        </w:numPr>
        <w:spacing w:before="0" w:after="40"/>
        <w:contextualSpacing/>
        <w:rPr/>
      </w:pPr>
      <w:r>
        <w:rPr>
          <w:rFonts w:ascii="Microsoft YaHei" w:hAnsi="Microsoft YaHei" w:eastAsia="Microsoft YaHei"/>
          <w:sz w:val="21"/>
        </w:rPr>
        <w:t>持久化数据：SuperRAG/dify-lite/data/dify_lite.db、SuperRAG/dify-lite/data/uploads、浏览器 localStorage。</w:t>
      </w:r>
    </w:p>
    <w:p>
      <w:pPr>
        <w:pStyle w:val="Heading2"/>
        <w:spacing w:before="80" w:after="100"/>
        <w:rPr/>
      </w:pPr>
      <w:bookmarkStart w:id="40" w:name="__RefHeading___Toc11344_3531209514"/>
      <w:bookmarkEnd w:id="40"/>
      <w:r>
        <w:rPr>
          <w:rFonts w:eastAsia="Microsoft YaHei" w:cs="Times New Roman" w:ascii="Microsoft YaHei" w:hAnsi="Microsoft YaHei"/>
          <w:b/>
          <w:sz w:val="28"/>
        </w:rPr>
        <w:t xml:space="preserve">7.5 </w:t>
      </w:r>
      <w:r>
        <w:rPr>
          <w:rFonts w:ascii="Microsoft YaHei" w:hAnsi="Microsoft YaHei" w:cs="Times New Roman" w:eastAsia="Microsoft YaHei"/>
          <w:b/>
          <w:sz w:val="28"/>
        </w:rPr>
        <w:t>部署环境</w:t>
      </w:r>
    </w:p>
    <w:p>
      <w:pPr>
        <w:spacing w:lineRule="auto" w:line="276" w:before="0" w:after="60"/>
        <w:ind w:firstLine="420"/>
        <w:rPr/>
      </w:pPr>
      <w:r>
        <w:rPr>
          <w:rFonts w:ascii="Microsoft YaHei" w:hAnsi="Microsoft YaHei" w:eastAsia="Microsoft YaHei"/>
          <w:sz w:val="21"/>
        </w:rPr>
        <w:t>轻量部署环境以 SuperRAG 为项目根目录，通过 SuperRAG/deploy.ps1 或 SuperRAG/dify-lite/run.py 启动 dify-lite；全栈部署环境通过 SuperRAG/deploy-all.ps1 启动 Dify Docker 依赖栈与 dify-lite。生产级域名、HTTPS、反向代理、服务化和备份恢复方式在当前项目材料中未识别，列为待确认部署边界。</w:t>
      </w:r>
    </w:p>
    <w:p>
      <w:pPr>
        <w:pStyle w:val="Heading2"/>
        <w:spacing w:before="80" w:after="100"/>
        <w:rPr/>
      </w:pPr>
      <w:bookmarkStart w:id="41" w:name="__RefHeading___Toc11346_3531209514"/>
      <w:bookmarkEnd w:id="41"/>
      <w:r>
        <w:rPr>
          <w:rFonts w:eastAsia="Microsoft YaHei" w:cs="Times New Roman" w:ascii="Microsoft YaHei" w:hAnsi="Microsoft YaHei"/>
          <w:b/>
          <w:sz w:val="28"/>
        </w:rPr>
        <w:t xml:space="preserve">7.6 </w:t>
      </w:r>
      <w:r>
        <w:rPr>
          <w:rFonts w:ascii="Microsoft YaHei" w:hAnsi="Microsoft YaHei" w:cs="Times New Roman" w:eastAsia="Microsoft YaHei"/>
          <w:b/>
          <w:sz w:val="28"/>
        </w:rPr>
        <w:t>测试工具</w:t>
      </w:r>
    </w:p>
    <w:tbl>
      <w:tblPr>
        <w:tblStyle w:val="TableGrid"/>
        <w:tblW w:w="15024" w:type="dxa"/>
        <w:jc w:val="center"/>
        <w:tblInd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noHBand="0" w:noVBand="1" w:firstColumn="1" w:lastRow="0" w:lastColumn="0" w:firstRow="1"/>
      </w:tblPr>
      <w:tblGrid>
        <w:gridCol w:w="7512"/>
        <w:gridCol w:w="7511"/>
      </w:tblGrid>
      <w:tr>
        <w:trPr>
          <w:tblHeader w:val="true"/>
        </w:trPr>
        <w:tc>
          <w:tcPr>
            <w:tcW w:w="7512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6"/>
                <w:szCs w:val="22"/>
                <w:lang w:val="en-US" w:eastAsia="en-US" w:bidi="ar-SA"/>
              </w:rPr>
              <w:t>工具</w:t>
            </w:r>
          </w:p>
        </w:tc>
        <w:tc>
          <w:tcPr>
            <w:tcW w:w="7511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6"/>
                <w:szCs w:val="22"/>
                <w:lang w:val="en-US" w:eastAsia="en-US" w:bidi="ar-SA"/>
              </w:rPr>
              <w:t>用途</w:t>
            </w:r>
          </w:p>
        </w:tc>
      </w:tr>
      <w:tr>
        <w:trPr/>
        <w:tc>
          <w:tcPr>
            <w:tcW w:w="75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浏览器开发者工具</w:t>
            </w:r>
          </w:p>
        </w:tc>
        <w:tc>
          <w:tcPr>
            <w:tcW w:w="75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检查网络请求、控制台错误、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localStorage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、前端资源加载</w:t>
            </w:r>
          </w:p>
        </w:tc>
      </w:tr>
      <w:tr>
        <w:trPr/>
        <w:tc>
          <w:tcPr>
            <w:tcW w:w="75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curl/Postman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或等效工具</w:t>
            </w:r>
          </w:p>
        </w:tc>
        <w:tc>
          <w:tcPr>
            <w:tcW w:w="75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执行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REST API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接口测试</w:t>
            </w:r>
          </w:p>
        </w:tc>
      </w:tr>
      <w:tr>
        <w:trPr/>
        <w:tc>
          <w:tcPr>
            <w:tcW w:w="75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PowerShell/CMD</w:t>
            </w:r>
          </w:p>
        </w:tc>
        <w:tc>
          <w:tcPr>
            <w:tcW w:w="75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执行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deploy.ps1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deploy-all.ps1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stop-all.ps1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python run.py</w:t>
            </w:r>
          </w:p>
        </w:tc>
      </w:tr>
      <w:tr>
        <w:trPr/>
        <w:tc>
          <w:tcPr>
            <w:tcW w:w="75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SQLite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查看工具或脚本</w:t>
            </w:r>
          </w:p>
        </w:tc>
        <w:tc>
          <w:tcPr>
            <w:tcW w:w="75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核验数据库表结构和记录变化</w:t>
            </w:r>
          </w:p>
        </w:tc>
      </w:tr>
      <w:tr>
        <w:trPr/>
        <w:tc>
          <w:tcPr>
            <w:tcW w:w="75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Docker Desktop / docker compose</w:t>
            </w:r>
          </w:p>
        </w:tc>
        <w:tc>
          <w:tcPr>
            <w:tcW w:w="75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全栈部署和容器状态检查</w:t>
            </w:r>
          </w:p>
        </w:tc>
      </w:tr>
      <w:tr>
        <w:trPr/>
        <w:tc>
          <w:tcPr>
            <w:tcW w:w="75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文本编辑器</w:t>
            </w:r>
          </w:p>
        </w:tc>
        <w:tc>
          <w:tcPr>
            <w:tcW w:w="75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检查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.env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api-config.js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docker-compose.yaml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sandbox config</w:t>
            </w:r>
          </w:p>
        </w:tc>
      </w:tr>
    </w:tbl>
    <w:p>
      <w:pPr>
        <w:pStyle w:val="Normal"/>
        <w:rPr/>
      </w:pPr>
      <w:r>
        <w:rPr>
          <w:rFonts w:ascii="Microsoft YaHei" w:hAnsi="Microsoft YaHei" w:eastAsia="Microsoft YaHei"/>
          <w:sz w:val="21"/>
        </w:rPr>
      </w:r>
    </w:p>
    <w:p>
      <w:pPr>
        <w:pStyle w:val="Heading1"/>
        <w:spacing w:before="160" w:after="100"/>
        <w:rPr/>
      </w:pPr>
      <w:bookmarkStart w:id="42" w:name="__RefHeading___Toc11348_3531209514"/>
      <w:bookmarkEnd w:id="42"/>
      <w:r>
        <w:rPr>
          <w:rFonts w:eastAsia="Microsoft YaHei" w:cs="Times New Roman" w:ascii="Microsoft YaHei" w:hAnsi="Microsoft YaHei"/>
          <w:b/>
          <w:sz w:val="32"/>
        </w:rPr>
        <w:t xml:space="preserve">8 </w:t>
      </w:r>
      <w:r>
        <w:rPr>
          <w:rFonts w:ascii="Microsoft YaHei" w:hAnsi="Microsoft YaHei" w:cs="Times New Roman" w:eastAsia="Microsoft YaHei"/>
          <w:b/>
          <w:sz w:val="32"/>
        </w:rPr>
        <w:t>测试通过准则</w:t>
      </w:r>
    </w:p>
    <w:p>
      <w:pPr>
        <w:pStyle w:val="Heading2"/>
        <w:spacing w:before="80" w:after="100"/>
        <w:rPr/>
      </w:pPr>
      <w:bookmarkStart w:id="43" w:name="__RefHeading___Toc11350_3531209514"/>
      <w:bookmarkEnd w:id="43"/>
      <w:r>
        <w:rPr>
          <w:rFonts w:eastAsia="Microsoft YaHei" w:cs="Times New Roman" w:ascii="Microsoft YaHei" w:hAnsi="Microsoft YaHei"/>
          <w:b/>
          <w:sz w:val="28"/>
        </w:rPr>
        <w:t xml:space="preserve">8.1 </w:t>
      </w:r>
      <w:r>
        <w:rPr>
          <w:rFonts w:ascii="Microsoft YaHei" w:hAnsi="Microsoft YaHei" w:cs="Times New Roman" w:eastAsia="Microsoft YaHei"/>
          <w:b/>
          <w:sz w:val="28"/>
        </w:rPr>
        <w:t>功能通过准则</w:t>
      </w:r>
    </w:p>
    <w:p>
      <w:pPr>
        <w:pStyle w:val="Normal"/>
        <w:spacing w:lineRule="auto" w:line="276" w:before="0" w:after="60"/>
        <w:ind w:firstLine="420"/>
        <w:rPr/>
      </w:pPr>
      <w:r>
        <w:rPr>
          <w:rFonts w:ascii="Microsoft YaHei" w:hAnsi="Microsoft YaHei" w:cs="Times New Roman" w:eastAsia="Microsoft YaHei"/>
          <w:b w:val="false"/>
          <w:sz w:val="21"/>
        </w:rPr>
        <w:t>功能入口可访问；输入校验生效；输出字段与功能目标一致；异常场景有明确提示；不出现页面崩溃或未处理异常。</w:t>
      </w:r>
    </w:p>
    <w:p>
      <w:pPr>
        <w:pStyle w:val="Heading2"/>
        <w:spacing w:before="80" w:after="100"/>
        <w:rPr/>
      </w:pPr>
      <w:bookmarkStart w:id="44" w:name="__RefHeading___Toc11352_3531209514"/>
      <w:bookmarkEnd w:id="44"/>
      <w:r>
        <w:rPr>
          <w:rFonts w:eastAsia="Microsoft YaHei" w:cs="Times New Roman" w:ascii="Microsoft YaHei" w:hAnsi="Microsoft YaHei"/>
          <w:b/>
          <w:sz w:val="28"/>
        </w:rPr>
        <w:t xml:space="preserve">8.2 </w:t>
      </w:r>
      <w:r>
        <w:rPr>
          <w:rFonts w:ascii="Microsoft YaHei" w:hAnsi="Microsoft YaHei" w:cs="Times New Roman" w:eastAsia="Microsoft YaHei"/>
          <w:b/>
          <w:sz w:val="28"/>
        </w:rPr>
        <w:t>接口通过准则</w:t>
      </w:r>
    </w:p>
    <w:p>
      <w:pPr>
        <w:pStyle w:val="Normal"/>
        <w:spacing w:lineRule="auto" w:line="276" w:before="0" w:after="60"/>
        <w:ind w:firstLine="420"/>
        <w:rPr/>
      </w:pPr>
      <w:r>
        <w:rPr>
          <w:rFonts w:ascii="Microsoft YaHei" w:hAnsi="Microsoft YaHei" w:cs="Times New Roman" w:eastAsia="Microsoft YaHei"/>
          <w:b w:val="false"/>
          <w:sz w:val="21"/>
        </w:rPr>
        <w:t>接口路径、请求方式、必填参数、状态码、响应结构与接口清单一致；错误响应可读；敏感字段不出现在响应中。</w:t>
      </w:r>
    </w:p>
    <w:p>
      <w:pPr>
        <w:pStyle w:val="Heading2"/>
        <w:spacing w:before="80" w:after="100"/>
        <w:rPr/>
      </w:pPr>
      <w:bookmarkStart w:id="45" w:name="__RefHeading___Toc11354_3531209514"/>
      <w:bookmarkEnd w:id="45"/>
      <w:r>
        <w:rPr>
          <w:rFonts w:eastAsia="Microsoft YaHei" w:cs="Times New Roman" w:ascii="Microsoft YaHei" w:hAnsi="Microsoft YaHei"/>
          <w:b/>
          <w:sz w:val="28"/>
        </w:rPr>
        <w:t xml:space="preserve">8.3 </w:t>
      </w:r>
      <w:r>
        <w:rPr>
          <w:rFonts w:ascii="Microsoft YaHei" w:hAnsi="Microsoft YaHei" w:cs="Times New Roman" w:eastAsia="Microsoft YaHei"/>
          <w:b/>
          <w:sz w:val="28"/>
        </w:rPr>
        <w:t>界面通过准则</w:t>
      </w:r>
    </w:p>
    <w:p>
      <w:pPr>
        <w:pStyle w:val="Normal"/>
        <w:spacing w:lineRule="auto" w:line="276" w:before="0" w:after="60"/>
        <w:ind w:firstLine="420"/>
        <w:rPr/>
      </w:pPr>
      <w:r>
        <w:rPr>
          <w:rFonts w:ascii="Microsoft YaHei" w:hAnsi="Microsoft YaHei" w:cs="Times New Roman" w:eastAsia="Microsoft YaHei"/>
          <w:b w:val="false"/>
          <w:sz w:val="21"/>
        </w:rPr>
        <w:t>页面显示完整，路由、表单、按钮、抽屉、弹窗、</w:t>
      </w:r>
      <w:r>
        <w:rPr>
          <w:rFonts w:eastAsia="Microsoft YaHei" w:cs="Times New Roman" w:ascii="Microsoft YaHei" w:hAnsi="Microsoft YaHei"/>
          <w:b w:val="false"/>
          <w:sz w:val="21"/>
        </w:rPr>
        <w:t>tab</w:t>
      </w:r>
      <w:r>
        <w:rPr>
          <w:rFonts w:ascii="Microsoft YaHei" w:hAnsi="Microsoft YaHei" w:cs="Times New Roman" w:eastAsia="Microsoft YaHei"/>
          <w:b w:val="false"/>
          <w:sz w:val="21"/>
        </w:rPr>
        <w:t>、复制、导出等交互符合设计；空态和错误态可识别。</w:t>
      </w:r>
    </w:p>
    <w:p>
      <w:pPr>
        <w:pStyle w:val="Heading2"/>
        <w:spacing w:before="80" w:after="100"/>
        <w:rPr/>
      </w:pPr>
      <w:bookmarkStart w:id="46" w:name="__RefHeading___Toc11356_3531209514"/>
      <w:bookmarkEnd w:id="46"/>
      <w:r>
        <w:rPr>
          <w:rFonts w:eastAsia="Microsoft YaHei" w:cs="Times New Roman" w:ascii="Microsoft YaHei" w:hAnsi="Microsoft YaHei"/>
          <w:b/>
          <w:sz w:val="28"/>
        </w:rPr>
        <w:t xml:space="preserve">8.4 </w:t>
      </w:r>
      <w:r>
        <w:rPr>
          <w:rFonts w:ascii="Microsoft YaHei" w:hAnsi="Microsoft YaHei" w:cs="Times New Roman" w:eastAsia="Microsoft YaHei"/>
          <w:b/>
          <w:sz w:val="28"/>
        </w:rPr>
        <w:t>数据通过准则</w:t>
      </w:r>
    </w:p>
    <w:p>
      <w:pPr>
        <w:pStyle w:val="Normal"/>
        <w:spacing w:lineRule="auto" w:line="276" w:before="0" w:after="60"/>
        <w:ind w:firstLine="420"/>
        <w:rPr/>
      </w:pPr>
      <w:r>
        <w:rPr>
          <w:rFonts w:eastAsia="Microsoft YaHei" w:cs="Times New Roman" w:ascii="Microsoft YaHei" w:hAnsi="Microsoft YaHei"/>
          <w:b w:val="false"/>
          <w:sz w:val="21"/>
        </w:rPr>
        <w:t>SQLite</w:t>
      </w:r>
      <w:r>
        <w:rPr>
          <w:rFonts w:ascii="Microsoft YaHei" w:hAnsi="Microsoft YaHei" w:cs="Times New Roman" w:eastAsia="Microsoft YaHei"/>
          <w:b w:val="false"/>
          <w:sz w:val="21"/>
        </w:rPr>
        <w:t>、</w:t>
      </w:r>
      <w:r>
        <w:rPr>
          <w:rFonts w:eastAsia="Microsoft YaHei" w:cs="Times New Roman" w:ascii="Microsoft YaHei" w:hAnsi="Microsoft YaHei"/>
          <w:b w:val="false"/>
          <w:sz w:val="21"/>
        </w:rPr>
        <w:t>uploads</w:t>
      </w:r>
      <w:r>
        <w:rPr>
          <w:rFonts w:ascii="Microsoft YaHei" w:hAnsi="Microsoft YaHei" w:cs="Times New Roman" w:eastAsia="Microsoft YaHei"/>
          <w:b w:val="false"/>
          <w:sz w:val="21"/>
        </w:rPr>
        <w:t>、</w:t>
      </w:r>
      <w:r>
        <w:rPr>
          <w:rFonts w:eastAsia="Microsoft YaHei" w:cs="Times New Roman" w:ascii="Microsoft YaHei" w:hAnsi="Microsoft YaHei"/>
          <w:b w:val="false"/>
          <w:sz w:val="21"/>
        </w:rPr>
        <w:t>localStorage</w:t>
      </w:r>
      <w:r>
        <w:rPr>
          <w:rFonts w:ascii="Microsoft YaHei" w:hAnsi="Microsoft YaHei" w:cs="Times New Roman" w:eastAsia="Microsoft YaHei"/>
          <w:b w:val="false"/>
          <w:sz w:val="21"/>
        </w:rPr>
        <w:t>、配置对象的读写边界符合设计；</w:t>
      </w:r>
      <w:r>
        <w:rPr>
          <w:rFonts w:eastAsia="Microsoft YaHei" w:cs="Times New Roman" w:ascii="Microsoft YaHei" w:hAnsi="Microsoft YaHei"/>
          <w:b w:val="false"/>
          <w:sz w:val="21"/>
        </w:rPr>
        <w:t xml:space="preserve">JSON </w:t>
      </w:r>
      <w:r>
        <w:rPr>
          <w:rFonts w:ascii="Microsoft YaHei" w:hAnsi="Microsoft YaHei" w:cs="Times New Roman" w:eastAsia="Microsoft YaHei"/>
          <w:b w:val="false"/>
          <w:sz w:val="21"/>
        </w:rPr>
        <w:t>字段可解析；删除和刷新后的数据状态可解释。</w:t>
      </w:r>
    </w:p>
    <w:p>
      <w:pPr>
        <w:pStyle w:val="Heading2"/>
        <w:spacing w:before="80" w:after="100"/>
        <w:rPr/>
      </w:pPr>
      <w:bookmarkStart w:id="47" w:name="__RefHeading___Toc11358_3531209514"/>
      <w:bookmarkEnd w:id="47"/>
      <w:r>
        <w:rPr>
          <w:rFonts w:eastAsia="Microsoft YaHei" w:cs="Times New Roman" w:ascii="Microsoft YaHei" w:hAnsi="Microsoft YaHei"/>
          <w:b/>
          <w:sz w:val="28"/>
        </w:rPr>
        <w:t xml:space="preserve">8.5 </w:t>
      </w:r>
      <w:r>
        <w:rPr>
          <w:rFonts w:ascii="Microsoft YaHei" w:hAnsi="Microsoft YaHei" w:cs="Times New Roman" w:eastAsia="Microsoft YaHei"/>
          <w:b/>
          <w:sz w:val="28"/>
        </w:rPr>
        <w:t>部署通过准则</w:t>
      </w:r>
    </w:p>
    <w:p>
      <w:pPr>
        <w:pStyle w:val="Normal"/>
        <w:spacing w:lineRule="auto" w:line="276" w:before="0" w:after="60"/>
        <w:ind w:firstLine="420"/>
        <w:rPr/>
      </w:pPr>
      <w:r>
        <w:rPr>
          <w:rFonts w:ascii="Microsoft YaHei" w:hAnsi="Microsoft YaHei" w:cs="Times New Roman" w:eastAsia="Microsoft YaHei"/>
          <w:b w:val="false"/>
          <w:sz w:val="21"/>
        </w:rPr>
        <w:t>启动脚本、停止脚本、健康检查、端口和日志输出符合部署说明；失败场景能通过日志定位。</w:t>
      </w:r>
    </w:p>
    <w:p>
      <w:pPr>
        <w:pStyle w:val="Heading2"/>
        <w:spacing w:before="80" w:after="100"/>
        <w:rPr/>
      </w:pPr>
      <w:bookmarkStart w:id="48" w:name="__RefHeading___Toc11360_3531209514"/>
      <w:bookmarkEnd w:id="48"/>
      <w:r>
        <w:rPr>
          <w:rFonts w:eastAsia="Microsoft YaHei" w:cs="Times New Roman" w:ascii="Microsoft YaHei" w:hAnsi="Microsoft YaHei"/>
          <w:b/>
          <w:sz w:val="28"/>
        </w:rPr>
        <w:t xml:space="preserve">8.6 </w:t>
      </w:r>
      <w:r>
        <w:rPr>
          <w:rFonts w:ascii="Microsoft YaHei" w:hAnsi="Microsoft YaHei" w:cs="Times New Roman" w:eastAsia="Microsoft YaHei"/>
          <w:b/>
          <w:sz w:val="28"/>
        </w:rPr>
        <w:t>异常处理通过准则</w:t>
      </w:r>
    </w:p>
    <w:p>
      <w:pPr>
        <w:pStyle w:val="Normal"/>
        <w:spacing w:lineRule="auto" w:line="276" w:before="0" w:after="60"/>
        <w:ind w:firstLine="420"/>
        <w:rPr/>
      </w:pPr>
      <w:r>
        <w:rPr>
          <w:rFonts w:ascii="Microsoft YaHei" w:hAnsi="Microsoft YaHei" w:cs="Times New Roman" w:eastAsia="Microsoft YaHei"/>
          <w:b w:val="false"/>
          <w:sz w:val="21"/>
        </w:rPr>
        <w:t xml:space="preserve">非法输入、依赖不可用、对象不存在、模型失败等场景均返回明确错误或 </w:t>
      </w:r>
      <w:r>
        <w:rPr>
          <w:rFonts w:eastAsia="Microsoft YaHei" w:cs="Times New Roman" w:ascii="Microsoft YaHei" w:hAnsi="Microsoft YaHei"/>
          <w:b w:val="false"/>
          <w:sz w:val="21"/>
        </w:rPr>
        <w:t>warning</w:t>
      </w:r>
      <w:r>
        <w:rPr>
          <w:rFonts w:ascii="Microsoft YaHei" w:hAnsi="Microsoft YaHei" w:cs="Times New Roman" w:eastAsia="Microsoft YaHei"/>
          <w:b w:val="false"/>
          <w:sz w:val="21"/>
        </w:rPr>
        <w:t>；系统保持可继续操作。</w:t>
      </w:r>
    </w:p>
    <w:p>
      <w:pPr>
        <w:pStyle w:val="Heading2"/>
        <w:spacing w:before="80" w:after="100"/>
        <w:rPr/>
      </w:pPr>
      <w:bookmarkStart w:id="49" w:name="__RefHeading___Toc11362_3531209514"/>
      <w:bookmarkEnd w:id="49"/>
      <w:r>
        <w:rPr>
          <w:rFonts w:eastAsia="Microsoft YaHei" w:cs="Times New Roman" w:ascii="Microsoft YaHei" w:hAnsi="Microsoft YaHei"/>
          <w:b/>
          <w:sz w:val="28"/>
        </w:rPr>
        <w:t xml:space="preserve">8.7 </w:t>
      </w:r>
      <w:r>
        <w:rPr>
          <w:rFonts w:ascii="Microsoft YaHei" w:hAnsi="Microsoft YaHei" w:cs="Times New Roman" w:eastAsia="Microsoft YaHei"/>
          <w:b/>
          <w:sz w:val="28"/>
        </w:rPr>
        <w:t>安全性通过准则</w:t>
      </w:r>
    </w:p>
    <w:p>
      <w:pPr>
        <w:pStyle w:val="Normal"/>
        <w:spacing w:lineRule="auto" w:line="276" w:before="0" w:after="60"/>
        <w:ind w:firstLine="420"/>
        <w:rPr/>
      </w:pPr>
      <w:r>
        <w:rPr>
          <w:rFonts w:eastAsia="Microsoft YaHei" w:cs="Times New Roman" w:ascii="Microsoft YaHei" w:hAnsi="Microsoft YaHei"/>
          <w:b w:val="false"/>
          <w:sz w:val="21"/>
        </w:rPr>
        <w:t>API Key</w:t>
      </w:r>
      <w:r>
        <w:rPr>
          <w:rFonts w:ascii="Microsoft YaHei" w:hAnsi="Microsoft YaHei" w:cs="Times New Roman" w:eastAsia="Microsoft YaHei"/>
          <w:b w:val="false"/>
          <w:sz w:val="21"/>
        </w:rPr>
        <w:t>、</w:t>
      </w:r>
      <w:r>
        <w:rPr>
          <w:rFonts w:eastAsia="Microsoft YaHei" w:cs="Times New Roman" w:ascii="Microsoft YaHei" w:hAnsi="Microsoft YaHei"/>
          <w:b w:val="false"/>
          <w:sz w:val="21"/>
        </w:rPr>
        <w:t xml:space="preserve">Docker </w:t>
      </w:r>
      <w:r>
        <w:rPr>
          <w:rFonts w:ascii="Microsoft YaHei" w:hAnsi="Microsoft YaHei" w:cs="Times New Roman" w:eastAsia="Microsoft YaHei"/>
          <w:b w:val="false"/>
          <w:sz w:val="21"/>
        </w:rPr>
        <w:t>密钥等敏感内容不在前端、接口响应和日志中明文暴露；文件上传和路径访问边界受控；权限体系待确认项不被写成已实现事实。</w:t>
      </w:r>
    </w:p>
    <w:p>
      <w:pPr>
        <w:pStyle w:val="Heading2"/>
        <w:spacing w:before="80" w:after="100"/>
        <w:rPr/>
      </w:pPr>
      <w:bookmarkStart w:id="50" w:name="__RefHeading___Toc11364_3531209514"/>
      <w:bookmarkEnd w:id="50"/>
      <w:r>
        <w:rPr>
          <w:rFonts w:eastAsia="Microsoft YaHei" w:cs="Times New Roman" w:ascii="Microsoft YaHei" w:hAnsi="Microsoft YaHei"/>
          <w:b/>
          <w:sz w:val="28"/>
        </w:rPr>
        <w:t xml:space="preserve">8.8 </w:t>
      </w:r>
      <w:r>
        <w:rPr>
          <w:rFonts w:ascii="Microsoft YaHei" w:hAnsi="Microsoft YaHei" w:cs="Times New Roman" w:eastAsia="Microsoft YaHei"/>
          <w:b/>
          <w:sz w:val="28"/>
        </w:rPr>
        <w:t>性能通过准则</w:t>
      </w:r>
    </w:p>
    <w:p>
      <w:pPr>
        <w:pStyle w:val="Normal"/>
        <w:spacing w:lineRule="auto" w:line="276" w:before="0" w:after="60"/>
        <w:ind w:firstLine="420"/>
        <w:rPr/>
      </w:pPr>
      <w:r>
        <w:rPr>
          <w:rFonts w:ascii="Microsoft YaHei" w:hAnsi="Microsoft YaHei" w:cs="Times New Roman" w:eastAsia="Microsoft YaHei"/>
          <w:b w:val="false"/>
          <w:sz w:val="21"/>
        </w:rPr>
        <w:t>在项目验收要求或课程要求给定指标范围内完成导入、检索、生成和部署；未给定指标时记录耗时、数据量和异常，不承诺具体数值。</w:t>
      </w:r>
    </w:p>
    <w:p>
      <w:pPr>
        <w:pStyle w:val="Heading2"/>
        <w:spacing w:before="80" w:after="100"/>
        <w:rPr/>
      </w:pPr>
      <w:bookmarkStart w:id="51" w:name="__RefHeading___Toc11366_3531209514"/>
      <w:bookmarkEnd w:id="51"/>
      <w:r>
        <w:rPr>
          <w:rFonts w:eastAsia="Microsoft YaHei" w:cs="Times New Roman" w:ascii="Microsoft YaHei" w:hAnsi="Microsoft YaHei"/>
          <w:b/>
          <w:sz w:val="28"/>
        </w:rPr>
        <w:t xml:space="preserve">8.9 </w:t>
      </w:r>
      <w:r>
        <w:rPr>
          <w:rFonts w:ascii="Microsoft YaHei" w:hAnsi="Microsoft YaHei" w:cs="Times New Roman" w:eastAsia="Microsoft YaHei"/>
          <w:b/>
          <w:sz w:val="28"/>
        </w:rPr>
        <w:t>回归通过准则</w:t>
      </w:r>
    </w:p>
    <w:p>
      <w:pPr>
        <w:pStyle w:val="Normal"/>
        <w:spacing w:lineRule="auto" w:line="276" w:before="0" w:after="60"/>
        <w:ind w:firstLine="420"/>
        <w:rPr/>
      </w:pPr>
      <w:r>
        <w:rPr>
          <w:rFonts w:ascii="Microsoft YaHei" w:hAnsi="Microsoft YaHei" w:cs="Times New Roman" w:eastAsia="Microsoft YaHei"/>
          <w:b w:val="false"/>
          <w:sz w:val="21"/>
        </w:rPr>
        <w:t>固定主流程在版本变更后保持可执行；历史修复项如中文文件名、中文检索、引用原文、</w:t>
      </w:r>
      <w:r>
        <w:rPr>
          <w:rFonts w:eastAsia="Microsoft YaHei" w:cs="Times New Roman" w:ascii="Microsoft YaHei" w:hAnsi="Microsoft YaHei"/>
          <w:b w:val="false"/>
          <w:sz w:val="21"/>
        </w:rPr>
        <w:t xml:space="preserve">Mermaid </w:t>
      </w:r>
      <w:r>
        <w:rPr>
          <w:rFonts w:ascii="Microsoft YaHei" w:hAnsi="Microsoft YaHei" w:cs="Times New Roman" w:eastAsia="Microsoft YaHei"/>
          <w:b w:val="false"/>
          <w:sz w:val="21"/>
        </w:rPr>
        <w:t>降级等不发生回退。</w:t>
      </w:r>
    </w:p>
    <w:p>
      <w:pPr>
        <w:pStyle w:val="Heading1"/>
        <w:spacing w:before="160" w:after="100"/>
        <w:rPr/>
      </w:pPr>
      <w:bookmarkStart w:id="52" w:name="__RefHeading___Toc11368_3531209514"/>
      <w:bookmarkEnd w:id="52"/>
      <w:r>
        <w:rPr>
          <w:rFonts w:eastAsia="Microsoft YaHei" w:cs="Times New Roman" w:ascii="Microsoft YaHei" w:hAnsi="Microsoft YaHei"/>
          <w:b/>
          <w:sz w:val="32"/>
        </w:rPr>
        <w:t xml:space="preserve">9 </w:t>
      </w:r>
      <w:r>
        <w:rPr>
          <w:rFonts w:ascii="Microsoft YaHei" w:hAnsi="Microsoft YaHei" w:cs="Times New Roman" w:eastAsia="Microsoft YaHei"/>
          <w:b/>
          <w:sz w:val="32"/>
        </w:rPr>
        <w:t>测试暂停与恢复准则</w:t>
      </w:r>
    </w:p>
    <w:p>
      <w:pPr>
        <w:pStyle w:val="Normal"/>
        <w:spacing w:lineRule="auto" w:line="276" w:before="0" w:after="60"/>
        <w:jc w:val="center"/>
        <w:rPr/>
      </w:pPr>
      <w:r>
        <w:rPr>
          <w:rFonts w:ascii="Microsoft YaHei" w:hAnsi="Microsoft YaHei" w:cs="Times New Roman" w:eastAsia="Microsoft YaHei"/>
          <w:b/>
          <w:sz w:val="20"/>
        </w:rPr>
        <w:t xml:space="preserve">表 </w:t>
      </w:r>
      <w:r>
        <w:rPr>
          <w:rFonts w:eastAsia="Microsoft YaHei" w:cs="Times New Roman" w:ascii="Microsoft YaHei" w:hAnsi="Microsoft YaHei"/>
          <w:b/>
          <w:sz w:val="20"/>
        </w:rPr>
        <w:t xml:space="preserve">17 </w:t>
      </w:r>
      <w:r>
        <w:rPr>
          <w:rFonts w:ascii="Microsoft YaHei" w:hAnsi="Microsoft YaHei" w:cs="Times New Roman" w:eastAsia="Microsoft YaHei"/>
          <w:b/>
          <w:sz w:val="20"/>
        </w:rPr>
        <w:t>测试暂停与恢复准则表</w:t>
      </w:r>
    </w:p>
    <w:tbl>
      <w:tblPr>
        <w:tblStyle w:val="TableGrid"/>
        <w:tblW w:w="15024" w:type="dxa"/>
        <w:jc w:val="center"/>
        <w:tblInd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noHBand="0" w:noVBand="1" w:firstColumn="1" w:lastRow="0" w:lastColumn="0" w:firstRow="1"/>
      </w:tblPr>
      <w:tblGrid>
        <w:gridCol w:w="3756"/>
        <w:gridCol w:w="3756"/>
        <w:gridCol w:w="3756"/>
        <w:gridCol w:w="3755"/>
      </w:tblGrid>
      <w:tr>
        <w:trPr>
          <w:tblHeader w:val="true"/>
        </w:trPr>
        <w:tc>
          <w:tcPr>
            <w:tcW w:w="3756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5"/>
                <w:szCs w:val="22"/>
                <w:lang w:val="en-US" w:eastAsia="en-US" w:bidi="ar-SA"/>
              </w:rPr>
              <w:t>编号</w:t>
            </w:r>
          </w:p>
        </w:tc>
        <w:tc>
          <w:tcPr>
            <w:tcW w:w="3756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5"/>
                <w:szCs w:val="22"/>
                <w:lang w:val="en-US" w:eastAsia="en-US" w:bidi="ar-SA"/>
              </w:rPr>
              <w:t>暂停条件</w:t>
            </w:r>
          </w:p>
        </w:tc>
        <w:tc>
          <w:tcPr>
            <w:tcW w:w="3756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5"/>
                <w:szCs w:val="22"/>
                <w:lang w:val="en-US" w:eastAsia="en-US" w:bidi="ar-SA"/>
              </w:rPr>
              <w:t>触发说明</w:t>
            </w:r>
          </w:p>
        </w:tc>
        <w:tc>
          <w:tcPr>
            <w:tcW w:w="375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5"/>
                <w:szCs w:val="22"/>
                <w:lang w:val="en-US" w:eastAsia="en-US" w:bidi="ar-SA"/>
              </w:rPr>
              <w:t>恢复准则</w:t>
            </w:r>
          </w:p>
        </w:tc>
      </w:tr>
      <w:tr>
        <w:trPr/>
        <w:tc>
          <w:tcPr>
            <w:tcW w:w="37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PZ-01</w:t>
            </w:r>
          </w:p>
        </w:tc>
        <w:tc>
          <w:tcPr>
            <w:tcW w:w="37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被测版本无法启动</w:t>
            </w:r>
          </w:p>
        </w:tc>
        <w:tc>
          <w:tcPr>
            <w:tcW w:w="37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dify-lite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无法启动且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/api/health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不可访问</w:t>
            </w:r>
          </w:p>
        </w:tc>
        <w:tc>
          <w:tcPr>
            <w:tcW w:w="37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修复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Python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依赖、端口占用、配置错误或回退到可启动版本后恢复</w:t>
            </w:r>
          </w:p>
        </w:tc>
      </w:tr>
      <w:tr>
        <w:trPr/>
        <w:tc>
          <w:tcPr>
            <w:tcW w:w="37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PZ-02</w:t>
            </w:r>
          </w:p>
        </w:tc>
        <w:tc>
          <w:tcPr>
            <w:tcW w:w="37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关键配置缺失</w:t>
            </w:r>
          </w:p>
        </w:tc>
        <w:tc>
          <w:tcPr>
            <w:tcW w:w="37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模型服务、数据目录、端口或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Docker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配置缺失导致核心流程不可执行</w:t>
            </w:r>
          </w:p>
        </w:tc>
        <w:tc>
          <w:tcPr>
            <w:tcW w:w="37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补齐配置并通过健康检查后恢复</w:t>
            </w:r>
          </w:p>
        </w:tc>
      </w:tr>
      <w:tr>
        <w:trPr/>
        <w:tc>
          <w:tcPr>
            <w:tcW w:w="37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PZ-03</w:t>
            </w:r>
          </w:p>
        </w:tc>
        <w:tc>
          <w:tcPr>
            <w:tcW w:w="37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测试数据不可用</w:t>
            </w:r>
          </w:p>
        </w:tc>
        <w:tc>
          <w:tcPr>
            <w:tcW w:w="37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演示文档、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SQLite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数据或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uploads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权限异常导致文档导入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/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检索无法验证</w:t>
            </w:r>
          </w:p>
        </w:tc>
        <w:tc>
          <w:tcPr>
            <w:tcW w:w="37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准备受控测试数据并确认读写权限后恢复</w:t>
            </w:r>
          </w:p>
        </w:tc>
      </w:tr>
      <w:tr>
        <w:trPr/>
        <w:tc>
          <w:tcPr>
            <w:tcW w:w="37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PZ-04</w:t>
            </w:r>
          </w:p>
        </w:tc>
        <w:tc>
          <w:tcPr>
            <w:tcW w:w="37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外部依赖不可用</w:t>
            </w:r>
          </w:p>
        </w:tc>
        <w:tc>
          <w:tcPr>
            <w:tcW w:w="37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Docker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 xml:space="preserve">Weaviate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或外部模型服务不可用且影响当前测试类型</w:t>
            </w:r>
          </w:p>
        </w:tc>
        <w:tc>
          <w:tcPr>
            <w:tcW w:w="37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按轻量模式跳过全栈依赖项，或恢复依赖后继续相关测试</w:t>
            </w:r>
          </w:p>
        </w:tc>
      </w:tr>
      <w:tr>
        <w:trPr/>
        <w:tc>
          <w:tcPr>
            <w:tcW w:w="37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PZ-05</w:t>
            </w:r>
          </w:p>
        </w:tc>
        <w:tc>
          <w:tcPr>
            <w:tcW w:w="37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发现阻塞缺陷</w:t>
            </w:r>
          </w:p>
        </w:tc>
        <w:tc>
          <w:tcPr>
            <w:tcW w:w="37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同一缺陷阻断多个高优先级测试项继续执行</w:t>
            </w:r>
          </w:p>
        </w:tc>
        <w:tc>
          <w:tcPr>
            <w:tcW w:w="37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5"/>
                <w:szCs w:val="22"/>
                <w:lang w:val="en-US" w:eastAsia="en-US" w:bidi="ar-SA"/>
              </w:rPr>
              <w:t>记录缺陷、修复或提供临时规避方案，经确认后恢复</w:t>
            </w:r>
          </w:p>
        </w:tc>
      </w:tr>
    </w:tbl>
    <w:p>
      <w:pPr>
        <w:pStyle w:val="Normal"/>
        <w:rPr/>
      </w:pPr>
      <w:r>
        <w:rPr>
          <w:rFonts w:ascii="Microsoft YaHei" w:hAnsi="Microsoft YaHei" w:eastAsia="Microsoft YaHei"/>
          <w:sz w:val="21"/>
        </w:rPr>
      </w:r>
    </w:p>
    <w:p>
      <w:pPr>
        <w:pStyle w:val="Heading1"/>
        <w:spacing w:before="160" w:after="100"/>
        <w:rPr/>
      </w:pPr>
      <w:bookmarkStart w:id="53" w:name="__RefHeading___Toc11370_3531209514"/>
      <w:bookmarkEnd w:id="53"/>
      <w:r>
        <w:rPr>
          <w:rFonts w:eastAsia="Microsoft YaHei" w:cs="Times New Roman" w:ascii="Microsoft YaHei" w:hAnsi="Microsoft YaHei"/>
          <w:b/>
          <w:sz w:val="32"/>
        </w:rPr>
        <w:t xml:space="preserve">10 </w:t>
      </w:r>
      <w:r>
        <w:rPr>
          <w:rFonts w:ascii="Microsoft YaHei" w:hAnsi="Microsoft YaHei" w:cs="Times New Roman" w:eastAsia="Microsoft YaHei"/>
          <w:b/>
          <w:sz w:val="32"/>
        </w:rPr>
        <w:t>测试交付物</w:t>
      </w:r>
    </w:p>
    <w:tbl>
      <w:tblPr>
        <w:tblStyle w:val="TableGrid"/>
        <w:tblW w:w="15024" w:type="dxa"/>
        <w:jc w:val="center"/>
        <w:tblInd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noHBand="0" w:noVBand="1" w:firstColumn="1" w:lastRow="0" w:lastColumn="0" w:firstRow="1"/>
      </w:tblPr>
      <w:tblGrid>
        <w:gridCol w:w="5008"/>
        <w:gridCol w:w="5008"/>
        <w:gridCol w:w="5008"/>
      </w:tblGrid>
      <w:tr>
        <w:trPr>
          <w:tblHeader w:val="true"/>
        </w:trPr>
        <w:tc>
          <w:tcPr>
            <w:tcW w:w="5008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6"/>
                <w:szCs w:val="22"/>
                <w:lang w:val="en-US" w:eastAsia="en-US" w:bidi="ar-SA"/>
              </w:rPr>
              <w:t>交付物编号</w:t>
            </w:r>
          </w:p>
        </w:tc>
        <w:tc>
          <w:tcPr>
            <w:tcW w:w="5008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6"/>
                <w:szCs w:val="22"/>
                <w:lang w:val="en-US" w:eastAsia="en-US" w:bidi="ar-SA"/>
              </w:rPr>
              <w:t>交付物名称</w:t>
            </w:r>
          </w:p>
        </w:tc>
        <w:tc>
          <w:tcPr>
            <w:tcW w:w="5008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6"/>
                <w:szCs w:val="22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TD-01</w:t>
            </w:r>
          </w:p>
        </w:tc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软件测试大纲</w:t>
            </w:r>
          </w:p>
        </w:tc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本文档，说明测试范围、测试项、测试方法、环境、准则和追踪关系</w:t>
            </w:r>
          </w:p>
        </w:tc>
      </w:tr>
      <w:tr>
        <w:trPr/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TD-02</w:t>
            </w:r>
          </w:p>
        </w:tc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测试用例表</w:t>
            </w:r>
          </w:p>
        </w:tc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基于本文测试项进一步拆分形成的详细用例表，后续执行阶段填写</w:t>
            </w:r>
          </w:p>
        </w:tc>
      </w:tr>
      <w:tr>
        <w:trPr/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TD-03</w:t>
            </w:r>
          </w:p>
        </w:tc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测试数据包</w:t>
            </w:r>
          </w:p>
        </w:tc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受控示例文档、异常格式文件、固定问题集和回归测试输入</w:t>
            </w:r>
          </w:p>
        </w:tc>
      </w:tr>
      <w:tr>
        <w:trPr/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TD-04</w:t>
            </w:r>
          </w:p>
        </w:tc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测试环境说明</w:t>
            </w:r>
          </w:p>
        </w:tc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测试机硬件、软件版本、端口、依赖和配置说明</w:t>
            </w:r>
          </w:p>
        </w:tc>
      </w:tr>
      <w:tr>
        <w:trPr/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TD-05</w:t>
            </w:r>
          </w:p>
        </w:tc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缺陷记录表</w:t>
            </w:r>
          </w:p>
        </w:tc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执行阶段记录文档问题、软件问题、阻塞问题和修复状态</w:t>
            </w:r>
          </w:p>
        </w:tc>
      </w:tr>
      <w:tr>
        <w:trPr/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TD-06</w:t>
            </w:r>
          </w:p>
        </w:tc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测试报告</w:t>
            </w:r>
          </w:p>
        </w:tc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测试执行结束后形成，不属于本文档内容</w:t>
            </w:r>
          </w:p>
        </w:tc>
      </w:tr>
      <w:tr>
        <w:trPr/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TD-07</w:t>
            </w:r>
          </w:p>
        </w:tc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部署与日志附件</w:t>
            </w:r>
          </w:p>
        </w:tc>
        <w:tc>
          <w:tcPr>
            <w:tcW w:w="5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关键启动日志、接口调用样例、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Docker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状态截图或命令输出，按课程要求提交</w:t>
            </w:r>
          </w:p>
        </w:tc>
      </w:tr>
    </w:tbl>
    <w:p>
      <w:pPr>
        <w:pStyle w:val="Normal"/>
        <w:rPr/>
      </w:pPr>
      <w:r>
        <w:rPr>
          <w:rFonts w:ascii="Microsoft YaHei" w:hAnsi="Microsoft YaHei" w:eastAsia="Microsoft YaHei"/>
          <w:sz w:val="21"/>
        </w:rPr>
      </w:r>
    </w:p>
    <w:p>
      <w:pPr>
        <w:pStyle w:val="Heading1"/>
        <w:spacing w:before="160" w:after="100"/>
        <w:rPr/>
      </w:pPr>
      <w:bookmarkStart w:id="54" w:name="__RefHeading___Toc11372_3531209514"/>
      <w:bookmarkEnd w:id="54"/>
      <w:r>
        <w:rPr>
          <w:rFonts w:eastAsia="Microsoft YaHei" w:cs="Times New Roman" w:ascii="Microsoft YaHei" w:hAnsi="Microsoft YaHei"/>
          <w:b/>
          <w:sz w:val="32"/>
        </w:rPr>
        <w:t xml:space="preserve">11 </w:t>
      </w:r>
      <w:r>
        <w:rPr>
          <w:rFonts w:ascii="Microsoft YaHei" w:hAnsi="Microsoft YaHei" w:cs="Times New Roman" w:eastAsia="Microsoft YaHei"/>
          <w:b/>
          <w:sz w:val="32"/>
        </w:rPr>
        <w:t>需求</w:t>
      </w:r>
      <w:r>
        <w:rPr>
          <w:rFonts w:eastAsia="Microsoft YaHei" w:cs="Times New Roman" w:ascii="Microsoft YaHei" w:hAnsi="Microsoft YaHei"/>
          <w:b/>
          <w:sz w:val="32"/>
        </w:rPr>
        <w:t>/</w:t>
      </w:r>
      <w:r>
        <w:rPr>
          <w:rFonts w:ascii="Microsoft YaHei" w:hAnsi="Microsoft YaHei" w:cs="Times New Roman" w:eastAsia="Microsoft YaHei"/>
          <w:b/>
          <w:sz w:val="32"/>
        </w:rPr>
        <w:t>功能追踪关系</w:t>
      </w:r>
    </w:p>
    <w:p>
      <w:pPr>
        <w:pStyle w:val="Heading2"/>
        <w:spacing w:before="80" w:after="100"/>
        <w:rPr/>
      </w:pPr>
      <w:bookmarkStart w:id="55" w:name="__RefHeading___Toc11374_3531209514"/>
      <w:bookmarkEnd w:id="55"/>
      <w:r>
        <w:rPr>
          <w:rFonts w:eastAsia="Microsoft YaHei" w:cs="Times New Roman" w:ascii="Microsoft YaHei" w:hAnsi="Microsoft YaHei"/>
          <w:b/>
          <w:sz w:val="28"/>
        </w:rPr>
        <w:t xml:space="preserve">11.1 </w:t>
      </w:r>
      <w:r>
        <w:rPr>
          <w:rFonts w:ascii="Microsoft YaHei" w:hAnsi="Microsoft YaHei" w:cs="Times New Roman" w:eastAsia="Microsoft YaHei"/>
          <w:b/>
          <w:sz w:val="28"/>
        </w:rPr>
        <w:t>正向追踪表</w:t>
      </w:r>
    </w:p>
    <w:p>
      <w:pPr>
        <w:pStyle w:val="Normal"/>
        <w:spacing w:lineRule="auto" w:line="276" w:before="0" w:after="60"/>
        <w:jc w:val="center"/>
        <w:rPr/>
      </w:pPr>
      <w:r>
        <w:rPr>
          <w:rFonts w:ascii="Microsoft YaHei" w:hAnsi="Microsoft YaHei" w:cs="Times New Roman" w:eastAsia="Microsoft YaHei"/>
          <w:b/>
          <w:sz w:val="20"/>
        </w:rPr>
        <w:t xml:space="preserve">表 </w:t>
      </w:r>
      <w:r>
        <w:rPr>
          <w:rFonts w:eastAsia="Microsoft YaHei" w:cs="Times New Roman" w:ascii="Microsoft YaHei" w:hAnsi="Microsoft YaHei"/>
          <w:b/>
          <w:sz w:val="20"/>
        </w:rPr>
        <w:t xml:space="preserve">18 </w:t>
      </w:r>
      <w:r>
        <w:rPr>
          <w:rFonts w:ascii="Microsoft YaHei" w:hAnsi="Microsoft YaHei" w:cs="Times New Roman" w:eastAsia="Microsoft YaHei"/>
          <w:b/>
          <w:sz w:val="20"/>
        </w:rPr>
        <w:t>正向追踪表</w:t>
      </w:r>
    </w:p>
    <w:tbl>
      <w:tblPr>
        <w:tblStyle w:val="TableGrid"/>
        <w:tblW w:w="15024" w:type="dxa"/>
        <w:jc w:val="center"/>
        <w:tblInd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noHBand="0" w:noVBand="1" w:firstColumn="1" w:lastRow="0" w:lastColumn="0" w:firstRow="1"/>
      </w:tblPr>
      <w:tblGrid>
        <w:gridCol w:w="2504"/>
        <w:gridCol w:w="2503"/>
        <w:gridCol w:w="2505"/>
        <w:gridCol w:w="2504"/>
        <w:gridCol w:w="2503"/>
        <w:gridCol w:w="2504"/>
      </w:tblGrid>
      <w:tr>
        <w:trPr>
          <w:tblHeader w:val="true"/>
        </w:trPr>
        <w:tc>
          <w:tcPr>
            <w:tcW w:w="250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功能编号</w:t>
            </w:r>
          </w:p>
        </w:tc>
        <w:tc>
          <w:tcPr>
            <w:tcW w:w="2503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功能目标</w:t>
            </w:r>
          </w:p>
        </w:tc>
        <w:tc>
          <w:tcPr>
            <w:tcW w:w="250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对应模块</w:t>
            </w:r>
          </w:p>
        </w:tc>
        <w:tc>
          <w:tcPr>
            <w:tcW w:w="250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对应接口</w:t>
            </w:r>
            <w:r>
              <w:rPr>
                <w:rFonts w:eastAsia="Microsoft YaHei" w:cs="Times New Roman" w:ascii="Microsoft YaHei" w:hAnsi="Microsoft YaHei"/>
                <w:b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页面</w:t>
            </w:r>
          </w:p>
        </w:tc>
        <w:tc>
          <w:tcPr>
            <w:tcW w:w="2503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对应测试项</w:t>
            </w:r>
          </w:p>
        </w:tc>
        <w:tc>
          <w:tcPr>
            <w:tcW w:w="250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F-01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用户进入系统并切换业务页面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M-01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P-01/P-02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，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I-01/I-02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FT-01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UI-01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UI-02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覆盖当前真实项目测试范围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F-02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展示系统概览与知识库状态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M-02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P-02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，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I-03/I-07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FT-02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IT-02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覆盖当前真实项目测试范围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F-03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上传企业文档并完成入库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M-03/M-04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P-03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，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I-08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FT-04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IT-04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DT-02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DT-03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覆盖当前真实项目测试范围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F-04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管理文档列表与详情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M-03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P-03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，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I-07/I-09/I-10/I-11/I-12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FT-03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UI-03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IT-04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IT-05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覆盖当前真实项目测试范围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F-05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支持本地检索与证据召回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M-05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I-15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FT-05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IT-07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PERF-02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覆盖当前真实项目测试范围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F-06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支持通用知识问答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M-06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P-04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，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I-14/I-16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FT-06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UI-04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IT-06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IT-07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覆盖当前真实项目测试范围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F-07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支持新人培训生成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M-07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P-05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，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I-14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FT-07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UI-05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覆盖当前真实项目测试范围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F-08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支持项目交接生成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M-08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P-06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，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I-14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FT-08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UI-06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覆盖当前真实项目测试范围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F-09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支持设计辅助生成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M-09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P-07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，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I-14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FT-09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UI-07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覆盖当前真实项目测试范围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F-10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支持模型输出校验与质量评估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M-08/M-09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I-14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FT-08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FT-09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EX-09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覆盖当前真实项目测试范围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F-11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支持历史产物保存、查询和删除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M-10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P-09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，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I-17/I-18/I-19/I-20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FT-10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UI-09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IT-08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覆盖当前真实项目测试范围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F-12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支持产物评审状态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M-10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I-21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FT-10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IT-08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覆盖当前真实项目测试范围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F-13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支持知识缺口分析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M-11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P-08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，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I-22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FT-11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UI-08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覆盖当前真实项目测试范围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F-14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支持后台配置展示和连接测试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M-12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P-10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，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I-03/I-04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FT-12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UI-10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DT-01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SEC-01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SEC-02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覆盖当前真实项目测试范围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F-15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支持本地与全栈部署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M-13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I-27/I-28/I-29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DEP-01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DEP-02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DEP-03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DEP-04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覆盖当前真实项目测试范围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F-16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支持导出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复制场景产物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M-08/M-09/M-10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P-06/P-07/P-09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FT-08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FT-09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FT-10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UI-06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UI-07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UI-09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覆盖当前真实项目测试范围</w:t>
            </w:r>
          </w:p>
        </w:tc>
      </w:tr>
      <w:tr>
        <w:trPr/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F-17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保护密钥和敏感配置</w:t>
            </w:r>
          </w:p>
        </w:tc>
        <w:tc>
          <w:tcPr>
            <w:tcW w:w="25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M-12/M-13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I-04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、配置文件</w:t>
            </w:r>
          </w:p>
        </w:tc>
        <w:tc>
          <w:tcPr>
            <w:tcW w:w="250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SEC-01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SEC-02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SEC-05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SEC-06</w:t>
            </w:r>
          </w:p>
        </w:tc>
        <w:tc>
          <w:tcPr>
            <w:tcW w:w="250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覆盖当前真实项目测试范围</w:t>
            </w:r>
          </w:p>
        </w:tc>
      </w:tr>
    </w:tbl>
    <w:p>
      <w:pPr>
        <w:pStyle w:val="Normal"/>
        <w:rPr/>
      </w:pPr>
      <w:r>
        <w:rPr>
          <w:rFonts w:ascii="Microsoft YaHei" w:hAnsi="Microsoft YaHei" w:eastAsia="Microsoft YaHei"/>
          <w:sz w:val="21"/>
        </w:rPr>
      </w:r>
    </w:p>
    <w:p>
      <w:pPr>
        <w:pStyle w:val="Heading2"/>
        <w:spacing w:before="80" w:after="100"/>
        <w:rPr/>
      </w:pPr>
      <w:bookmarkStart w:id="56" w:name="__RefHeading___Toc11376_3531209514"/>
      <w:bookmarkEnd w:id="56"/>
      <w:r>
        <w:rPr>
          <w:rFonts w:eastAsia="Microsoft YaHei" w:cs="Times New Roman" w:ascii="Microsoft YaHei" w:hAnsi="Microsoft YaHei"/>
          <w:b/>
          <w:sz w:val="28"/>
        </w:rPr>
        <w:t xml:space="preserve">11.2 </w:t>
      </w:r>
      <w:r>
        <w:rPr>
          <w:rFonts w:ascii="Microsoft YaHei" w:hAnsi="Microsoft YaHei" w:cs="Times New Roman" w:eastAsia="Microsoft YaHei"/>
          <w:b/>
          <w:sz w:val="28"/>
        </w:rPr>
        <w:t>逆向追踪表</w:t>
      </w:r>
    </w:p>
    <w:p>
      <w:pPr>
        <w:pStyle w:val="Normal"/>
        <w:spacing w:lineRule="auto" w:line="276" w:before="0" w:after="60"/>
        <w:jc w:val="center"/>
        <w:rPr/>
      </w:pPr>
      <w:r>
        <w:rPr>
          <w:rFonts w:ascii="Microsoft YaHei" w:hAnsi="Microsoft YaHei" w:cs="Times New Roman" w:eastAsia="Microsoft YaHei"/>
          <w:b/>
          <w:sz w:val="20"/>
        </w:rPr>
        <w:t xml:space="preserve">表 </w:t>
      </w:r>
      <w:r>
        <w:rPr>
          <w:rFonts w:eastAsia="Microsoft YaHei" w:cs="Times New Roman" w:ascii="Microsoft YaHei" w:hAnsi="Microsoft YaHei"/>
          <w:b/>
          <w:sz w:val="20"/>
        </w:rPr>
        <w:t xml:space="preserve">19 </w:t>
      </w:r>
      <w:r>
        <w:rPr>
          <w:rFonts w:ascii="Microsoft YaHei" w:hAnsi="Microsoft YaHei" w:cs="Times New Roman" w:eastAsia="Microsoft YaHei"/>
          <w:b/>
          <w:sz w:val="20"/>
        </w:rPr>
        <w:t>逆向追踪表</w:t>
      </w:r>
    </w:p>
    <w:tbl>
      <w:tblPr>
        <w:tblStyle w:val="TableGrid"/>
        <w:tblW w:w="15025" w:type="dxa"/>
        <w:jc w:val="center"/>
        <w:tblInd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noHBand="0" w:noVBand="1" w:firstColumn="1" w:lastRow="0" w:lastColumn="0" w:firstRow="1"/>
      </w:tblPr>
      <w:tblGrid>
        <w:gridCol w:w="3005"/>
        <w:gridCol w:w="3005"/>
        <w:gridCol w:w="3005"/>
        <w:gridCol w:w="3005"/>
        <w:gridCol w:w="3005"/>
      </w:tblGrid>
      <w:tr>
        <w:trPr>
          <w:tblHeader w:val="true"/>
        </w:trPr>
        <w:tc>
          <w:tcPr>
            <w:tcW w:w="300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测试项编号</w:t>
            </w:r>
          </w:p>
        </w:tc>
        <w:tc>
          <w:tcPr>
            <w:tcW w:w="300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测试项名称</w:t>
            </w:r>
          </w:p>
        </w:tc>
        <w:tc>
          <w:tcPr>
            <w:tcW w:w="300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对应功能编号</w:t>
            </w:r>
          </w:p>
        </w:tc>
        <w:tc>
          <w:tcPr>
            <w:tcW w:w="300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对应模块</w:t>
            </w:r>
          </w:p>
        </w:tc>
        <w:tc>
          <w:tcPr>
            <w:tcW w:w="300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覆盖说明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FT-01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登录与路由切换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FP-01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FP-02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M-01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覆盖静态登录、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hash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路由和导航激活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FT-02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控制台概览展示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FP-03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FP-04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M-02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覆盖健康状态、文档统计、最近文档与活动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FT-03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文档列表筛选与详情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FP-05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FP-12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M-03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覆盖筛选、详情、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chunks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、引用统计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FT-04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文档上传入库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FP-06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FP-07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FP-08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FP-09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M-03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M-04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覆盖支持格式、参数边界和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SQLite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写入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FT-05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RAG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检索与证据召回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FP-10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FP-12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M-05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覆盖本地检索、可选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Weaviate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、引用定位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FT-06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通用智能问答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FP-11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M-06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覆盖回答结构、引用、证据等级、错误展示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FT-07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培训模式生成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FP-13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M-07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覆盖摘要、背景、术语、学习路径与引用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FT-08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交接模式生成与导出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FP-14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FP-15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M-08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覆盖交接结构、待办、风险、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Markdown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导出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FT-09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设计辅助生成与图示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FP-16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FP-17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FP-18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FP-19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FP-20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M-09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覆盖结构化设计、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schema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校验、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Mermaid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、导出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FT-10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历史产物与评审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FP-21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FP-22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FP-23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M-10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覆盖产物保存、筛选、详情、删除和评审状态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FT-11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知识缺口汇总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FP-24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M-11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覆盖缺口类型、严重度、关联文档和影响范围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FT-12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后台配置与联调诊断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FP-25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FP-26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M-12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覆盖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public config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、连接测试、本地日志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IT-01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页面与静态资源接口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I-01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I-02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M-01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覆盖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GET /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与静态资源路径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IT-02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健康检查与公共配置接口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I-03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I-04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M-02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M-12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M-13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覆盖服务状态、配置字段与密钥脱敏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IT-03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知识库与文档管理接口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I-05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至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I-13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M-03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M-04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覆盖集合、文档导入、详情、删除、原文定位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IT-04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场景、检索与聊天接口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I-14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I-15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I-16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M-05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至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M-09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覆盖场景白名单、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query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校验、检索响应结构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IT-05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产物与知识缺口接口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I-17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至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I-22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M-10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M-11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覆盖列表、保存、详情、删除、评审和缺口汇总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IT-06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文件、配置与持久化接口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I-23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至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I-26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M-03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M-04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M-10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M-12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覆盖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uploads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.env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SQLite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localStorage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DEP-01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轻量部署启动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FP-27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M-13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覆盖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deploy.ps1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8088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健康检查、日志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DEP-02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全栈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Docker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部署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FP-28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M-13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覆盖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Docker Compose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Dify Web/API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Weaviate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dify-lite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DEP-03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全栈停止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FP-29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M-13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覆盖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stop-all.ps1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、进程与容器停止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SEC-01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敏感配置保护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F-17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M-12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M-13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覆盖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API Key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、示例密钥、前端返回脱敏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SEC-02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输入合法性与访问边界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FP-06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FP-12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FP-25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M-01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M-03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M-12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覆盖登录演示边界、文件类型、路径访问、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CORS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PERF-01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导入、检索与生成性能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FP-06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FP-10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FP-11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FP-16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M-04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至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M-09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具体指标以验收或课程要求为准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REG-01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主链路回归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F-03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至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F-10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核心模块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覆盖上传、问答、引用、设计、历史、删除</w:t>
            </w:r>
          </w:p>
        </w:tc>
      </w:tr>
    </w:tbl>
    <w:p>
      <w:pPr>
        <w:pStyle w:val="Normal"/>
        <w:rPr/>
      </w:pPr>
      <w:r>
        <w:rPr>
          <w:rFonts w:ascii="Microsoft YaHei" w:hAnsi="Microsoft YaHei" w:eastAsia="Microsoft YaHei"/>
          <w:sz w:val="21"/>
        </w:rPr>
      </w:r>
    </w:p>
    <w:p>
      <w:pPr>
        <w:pStyle w:val="Heading1"/>
        <w:spacing w:before="160" w:after="100"/>
        <w:rPr/>
      </w:pPr>
      <w:bookmarkStart w:id="57" w:name="__RefHeading___Toc11378_3531209514"/>
      <w:bookmarkEnd w:id="57"/>
      <w:r>
        <w:rPr>
          <w:rFonts w:eastAsia="Microsoft YaHei" w:cs="Times New Roman" w:ascii="Microsoft YaHei" w:hAnsi="Microsoft YaHei"/>
          <w:b/>
          <w:sz w:val="32"/>
        </w:rPr>
        <w:t xml:space="preserve">12 </w:t>
      </w:r>
      <w:r>
        <w:rPr>
          <w:rFonts w:ascii="Microsoft YaHei" w:hAnsi="Microsoft YaHei" w:cs="Times New Roman" w:eastAsia="Microsoft YaHei"/>
          <w:b/>
          <w:sz w:val="32"/>
        </w:rPr>
        <w:t>风险与约束</w:t>
      </w:r>
    </w:p>
    <w:p>
      <w:pPr>
        <w:pStyle w:val="Normal"/>
        <w:spacing w:lineRule="auto" w:line="276" w:before="0" w:after="60"/>
        <w:jc w:val="center"/>
        <w:rPr/>
      </w:pPr>
      <w:r>
        <w:rPr>
          <w:rFonts w:ascii="Microsoft YaHei" w:hAnsi="Microsoft YaHei" w:cs="Times New Roman" w:eastAsia="Microsoft YaHei"/>
          <w:b/>
          <w:sz w:val="20"/>
        </w:rPr>
        <w:t xml:space="preserve">表 </w:t>
      </w:r>
      <w:r>
        <w:rPr>
          <w:rFonts w:eastAsia="Microsoft YaHei" w:cs="Times New Roman" w:ascii="Microsoft YaHei" w:hAnsi="Microsoft YaHei"/>
          <w:b/>
          <w:sz w:val="20"/>
        </w:rPr>
        <w:t xml:space="preserve">20 </w:t>
      </w:r>
      <w:r>
        <w:rPr>
          <w:rFonts w:ascii="Microsoft YaHei" w:hAnsi="Microsoft YaHei" w:cs="Times New Roman" w:eastAsia="Microsoft YaHei"/>
          <w:b/>
          <w:sz w:val="20"/>
        </w:rPr>
        <w:t>风险与约束表</w:t>
      </w:r>
    </w:p>
    <w:tbl>
      <w:tblPr>
        <w:tblStyle w:val="TableGrid"/>
        <w:tblW w:w="15024" w:type="dxa"/>
        <w:jc w:val="center"/>
        <w:tblInd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noHBand="0" w:noVBand="1" w:firstColumn="1" w:lastRow="0" w:lastColumn="0" w:firstRow="1"/>
      </w:tblPr>
      <w:tblGrid>
        <w:gridCol w:w="3756"/>
        <w:gridCol w:w="3756"/>
        <w:gridCol w:w="3756"/>
        <w:gridCol w:w="3755"/>
      </w:tblGrid>
      <w:tr>
        <w:trPr>
          <w:tblHeader w:val="true"/>
        </w:trPr>
        <w:tc>
          <w:tcPr>
            <w:tcW w:w="3756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风险编号</w:t>
            </w:r>
          </w:p>
        </w:tc>
        <w:tc>
          <w:tcPr>
            <w:tcW w:w="3756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风险</w:t>
            </w:r>
            <w:r>
              <w:rPr>
                <w:rFonts w:eastAsia="Microsoft YaHei" w:cs="Times New Roman" w:ascii="Microsoft YaHei" w:hAnsi="Microsoft YaHei"/>
                <w:b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约束</w:t>
            </w:r>
          </w:p>
        </w:tc>
        <w:tc>
          <w:tcPr>
            <w:tcW w:w="3756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影响范围</w:t>
            </w:r>
          </w:p>
        </w:tc>
        <w:tc>
          <w:tcPr>
            <w:tcW w:w="375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4"/>
                <w:szCs w:val="22"/>
                <w:lang w:val="en-US" w:eastAsia="en-US" w:bidi="ar-SA"/>
              </w:rPr>
              <w:t>处理方式</w:t>
            </w:r>
          </w:p>
        </w:tc>
      </w:tr>
      <w:tr>
        <w:trPr/>
        <w:tc>
          <w:tcPr>
            <w:tcW w:w="37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R-01</w:t>
            </w:r>
          </w:p>
        </w:tc>
        <w:tc>
          <w:tcPr>
            <w:tcW w:w="37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项目边界需确认</w:t>
            </w:r>
          </w:p>
        </w:tc>
        <w:tc>
          <w:tcPr>
            <w:tcW w:w="37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根目录含多个候选工程，测试范围需以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SuperRAG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为主系统</w:t>
            </w:r>
          </w:p>
        </w:tc>
        <w:tc>
          <w:tcPr>
            <w:tcW w:w="37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不测试范围已排除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dify-main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和独立工程，正式提交前由项目负责人确认</w:t>
            </w:r>
          </w:p>
        </w:tc>
      </w:tr>
      <w:tr>
        <w:trPr/>
        <w:tc>
          <w:tcPr>
            <w:tcW w:w="37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R-02</w:t>
            </w:r>
          </w:p>
        </w:tc>
        <w:tc>
          <w:tcPr>
            <w:tcW w:w="37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部分页面存在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fallback/mock</w:t>
            </w:r>
          </w:p>
        </w:tc>
        <w:tc>
          <w:tcPr>
            <w:tcW w:w="37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培训、交接、设计、历史、设置、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Dashboard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等页面的真实闭环比例影响验收判断</w:t>
            </w:r>
          </w:p>
        </w:tc>
        <w:tc>
          <w:tcPr>
            <w:tcW w:w="37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测试大纲保留回退边界，后续联调时逐项确认真实接口</w:t>
            </w:r>
          </w:p>
        </w:tc>
      </w:tr>
      <w:tr>
        <w:trPr/>
        <w:tc>
          <w:tcPr>
            <w:tcW w:w="37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R-03</w:t>
            </w:r>
          </w:p>
        </w:tc>
        <w:tc>
          <w:tcPr>
            <w:tcW w:w="37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后端依赖清单缺失</w:t>
            </w:r>
          </w:p>
        </w:tc>
        <w:tc>
          <w:tcPr>
            <w:tcW w:w="37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安装部署测试无法精确列出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pip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依赖版本</w:t>
            </w:r>
          </w:p>
        </w:tc>
        <w:tc>
          <w:tcPr>
            <w:tcW w:w="3755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列为待确认依赖项，建议导出 requirements.txt 或 pyproject.toml</w:t>
            </w:r>
          </w:p>
        </w:tc>
      </w:tr>
      <w:tr>
        <w:trPr/>
        <w:tc>
          <w:tcPr>
            <w:tcW w:w="37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R-04</w:t>
            </w:r>
          </w:p>
        </w:tc>
        <w:tc>
          <w:tcPr>
            <w:tcW w:w="37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性能指标未正式给出</w:t>
            </w:r>
          </w:p>
        </w:tc>
        <w:tc>
          <w:tcPr>
            <w:tcW w:w="37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无法写具体并发、响应时间和文档大小阈值</w:t>
            </w:r>
          </w:p>
        </w:tc>
        <w:tc>
          <w:tcPr>
            <w:tcW w:w="37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性能准则统一写为以项目验收或课程要求为准</w:t>
            </w:r>
          </w:p>
        </w:tc>
      </w:tr>
      <w:tr>
        <w:trPr/>
        <w:tc>
          <w:tcPr>
            <w:tcW w:w="37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R-05</w:t>
            </w:r>
          </w:p>
        </w:tc>
        <w:tc>
          <w:tcPr>
            <w:tcW w:w="37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权限与审计未实现</w:t>
            </w:r>
          </w:p>
        </w:tc>
        <w:tc>
          <w:tcPr>
            <w:tcW w:w="37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安全测试只能覆盖当前边界和待确认项</w:t>
            </w:r>
          </w:p>
        </w:tc>
        <w:tc>
          <w:tcPr>
            <w:tcW w:w="37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不宣称具备后端鉴权、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RBAC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和审计日志</w:t>
            </w:r>
          </w:p>
        </w:tc>
      </w:tr>
      <w:tr>
        <w:trPr/>
        <w:tc>
          <w:tcPr>
            <w:tcW w:w="37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R-06</w:t>
            </w:r>
          </w:p>
        </w:tc>
        <w:tc>
          <w:tcPr>
            <w:tcW w:w="37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向量库删除同步待确认</w:t>
            </w:r>
          </w:p>
        </w:tc>
        <w:tc>
          <w:tcPr>
            <w:tcW w:w="37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文档删除后检索一致性存在风险</w:t>
            </w:r>
          </w:p>
        </w:tc>
        <w:tc>
          <w:tcPr>
            <w:tcW w:w="37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将删除一致性纳入回归与风险项</w:t>
            </w:r>
          </w:p>
        </w:tc>
      </w:tr>
      <w:tr>
        <w:trPr/>
        <w:tc>
          <w:tcPr>
            <w:tcW w:w="37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R-07</w:t>
            </w:r>
          </w:p>
        </w:tc>
        <w:tc>
          <w:tcPr>
            <w:tcW w:w="37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外部模型服务依赖</w:t>
            </w:r>
          </w:p>
        </w:tc>
        <w:tc>
          <w:tcPr>
            <w:tcW w:w="375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问答、设计、交接输出受网络、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Key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、模型名和超时影响</w:t>
            </w:r>
          </w:p>
        </w:tc>
        <w:tc>
          <w:tcPr>
            <w:tcW w:w="375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测试模型不可用场景，并检查错误不泄露密钥</w:t>
            </w:r>
          </w:p>
        </w:tc>
      </w:tr>
    </w:tbl>
    <w:p>
      <w:pPr>
        <w:pStyle w:val="Normal"/>
        <w:rPr/>
      </w:pPr>
      <w:r>
        <w:rPr>
          <w:rFonts w:ascii="Microsoft YaHei" w:hAnsi="Microsoft YaHei" w:eastAsia="Microsoft YaHei"/>
          <w:sz w:val="21"/>
        </w:rPr>
      </w:r>
    </w:p>
    <w:p>
      <w:pPr>
        <w:pStyle w:val="Heading1"/>
        <w:spacing w:before="160" w:after="100"/>
        <w:rPr/>
      </w:pPr>
      <w:bookmarkStart w:id="58" w:name="__RefHeading___Toc11380_3531209514"/>
      <w:bookmarkEnd w:id="58"/>
      <w:r>
        <w:rPr>
          <w:rFonts w:eastAsia="Microsoft YaHei" w:cs="Times New Roman" w:ascii="Microsoft YaHei" w:hAnsi="Microsoft YaHei"/>
          <w:b/>
          <w:sz w:val="32"/>
        </w:rPr>
        <w:t xml:space="preserve">13 </w:t>
      </w:r>
      <w:r>
        <w:rPr>
          <w:rFonts w:ascii="Microsoft YaHei" w:hAnsi="Microsoft YaHei" w:cs="Times New Roman" w:eastAsia="Microsoft YaHei"/>
          <w:b/>
          <w:sz w:val="32"/>
        </w:rPr>
        <w:t>注释</w:t>
      </w:r>
    </w:p>
    <w:p>
      <w:pPr>
        <w:pStyle w:val="Heading2"/>
        <w:spacing w:before="80" w:after="100"/>
        <w:rPr/>
      </w:pPr>
      <w:bookmarkStart w:id="59" w:name="__RefHeading___Toc11382_3531209514"/>
      <w:bookmarkEnd w:id="59"/>
      <w:r>
        <w:rPr>
          <w:rFonts w:eastAsia="Microsoft YaHei" w:cs="Times New Roman" w:ascii="Microsoft YaHei" w:hAnsi="Microsoft YaHei"/>
          <w:b/>
          <w:sz w:val="28"/>
        </w:rPr>
        <w:t xml:space="preserve">13.1 </w:t>
      </w:r>
      <w:r>
        <w:rPr>
          <w:rFonts w:ascii="Microsoft YaHei" w:hAnsi="Microsoft YaHei" w:cs="Times New Roman" w:eastAsia="Microsoft YaHei"/>
          <w:b/>
          <w:sz w:val="28"/>
        </w:rPr>
        <w:t>术语说明</w:t>
      </w:r>
    </w:p>
    <w:tbl>
      <w:tblPr>
        <w:tblStyle w:val="TableGrid"/>
        <w:tblW w:w="15024" w:type="dxa"/>
        <w:jc w:val="center"/>
        <w:tblInd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noHBand="0" w:noVBand="1" w:firstColumn="1" w:lastRow="0" w:lastColumn="0" w:firstRow="1"/>
      </w:tblPr>
      <w:tblGrid>
        <w:gridCol w:w="7512"/>
        <w:gridCol w:w="7511"/>
      </w:tblGrid>
      <w:tr>
        <w:trPr>
          <w:tblHeader w:val="true"/>
        </w:trPr>
        <w:tc>
          <w:tcPr>
            <w:tcW w:w="7512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6"/>
                <w:szCs w:val="22"/>
                <w:lang w:val="en-US" w:eastAsia="en-US" w:bidi="ar-SA"/>
              </w:rPr>
              <w:t>术语</w:t>
            </w:r>
          </w:p>
        </w:tc>
        <w:tc>
          <w:tcPr>
            <w:tcW w:w="7511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/>
                <w:kern w:val="0"/>
                <w:sz w:val="16"/>
                <w:szCs w:val="22"/>
                <w:lang w:val="en-US" w:eastAsia="en-US" w:bidi="ar-SA"/>
              </w:rPr>
              <w:t>说明</w:t>
            </w:r>
          </w:p>
        </w:tc>
      </w:tr>
      <w:tr>
        <w:trPr/>
        <w:tc>
          <w:tcPr>
            <w:tcW w:w="75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SuperRAG</w:t>
            </w:r>
          </w:p>
        </w:tc>
        <w:tc>
          <w:tcPr>
            <w:tcW w:w="75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当前本地部署企业知识库问答系统的项目名称或业务名称。</w:t>
            </w:r>
          </w:p>
        </w:tc>
      </w:tr>
      <w:tr>
        <w:trPr/>
        <w:tc>
          <w:tcPr>
            <w:tcW w:w="75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dify-lite</w:t>
            </w:r>
          </w:p>
        </w:tc>
        <w:tc>
          <w:tcPr>
            <w:tcW w:w="75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当前服务第一版前端主链路的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Flask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轻量后端工程。</w:t>
            </w:r>
          </w:p>
        </w:tc>
      </w:tr>
      <w:tr>
        <w:trPr/>
        <w:tc>
          <w:tcPr>
            <w:tcW w:w="75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第一版前端</w:t>
            </w:r>
          </w:p>
        </w:tc>
        <w:tc>
          <w:tcPr>
            <w:tcW w:w="7511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路径为 SuperRAG/第一版 的纯 HTML、CSS、原生 JavaScript 前端页面。</w:t>
            </w:r>
          </w:p>
        </w:tc>
      </w:tr>
      <w:tr>
        <w:trPr/>
        <w:tc>
          <w:tcPr>
            <w:tcW w:w="75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完整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Dify Docker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栈</w:t>
            </w:r>
          </w:p>
        </w:tc>
        <w:tc>
          <w:tcPr>
            <w:tcW w:w="7511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路径为 SuperRAG/dify/docker 的 Dify 原生基础栈和依赖服务。</w:t>
            </w:r>
          </w:p>
        </w:tc>
      </w:tr>
      <w:tr>
        <w:trPr/>
        <w:tc>
          <w:tcPr>
            <w:tcW w:w="75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RAG</w:t>
            </w:r>
          </w:p>
        </w:tc>
        <w:tc>
          <w:tcPr>
            <w:tcW w:w="75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检索增强生成，即先从知识库检索相关内容，再将证据交给模型生成回答。</w:t>
            </w:r>
          </w:p>
        </w:tc>
      </w:tr>
      <w:tr>
        <w:trPr/>
        <w:tc>
          <w:tcPr>
            <w:tcW w:w="75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Citation</w:t>
            </w:r>
          </w:p>
        </w:tc>
        <w:tc>
          <w:tcPr>
            <w:tcW w:w="75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回答中返回的引用证据，包含 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chunkId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documentId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 xml:space="preserve">sourceName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等追溯字段。</w:t>
            </w:r>
          </w:p>
        </w:tc>
      </w:tr>
      <w:tr>
        <w:trPr/>
        <w:tc>
          <w:tcPr>
            <w:tcW w:w="75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Mermaid</w:t>
            </w:r>
          </w:p>
        </w:tc>
        <w:tc>
          <w:tcPr>
            <w:tcW w:w="75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一种文本图示语言，当前设计辅助场景用于输出和浏览器端渲染第一版图示。</w:t>
            </w:r>
          </w:p>
        </w:tc>
      </w:tr>
      <w:tr>
        <w:trPr/>
        <w:tc>
          <w:tcPr>
            <w:tcW w:w="751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fallback</w:t>
            </w:r>
          </w:p>
        </w:tc>
        <w:tc>
          <w:tcPr>
            <w:tcW w:w="751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6"/>
                <w:szCs w:val="22"/>
                <w:lang w:val="en-US" w:eastAsia="en-US" w:bidi="ar-SA"/>
              </w:rPr>
              <w:t>真实接口不可用或返回不完整时的前端或后端兜底展示逻辑。测试大纲中不将其写成完整后端闭环。</w:t>
            </w:r>
          </w:p>
        </w:tc>
      </w:tr>
    </w:tbl>
    <w:p>
      <w:pPr>
        <w:pStyle w:val="Normal"/>
        <w:rPr/>
      </w:pPr>
      <w:r>
        <w:rPr>
          <w:rFonts w:ascii="Microsoft YaHei" w:hAnsi="Microsoft YaHei" w:eastAsia="Microsoft YaHei"/>
          <w:sz w:val="21"/>
        </w:rPr>
      </w:r>
    </w:p>
    <w:p>
      <w:pPr>
        <w:pStyle w:val="Heading2"/>
        <w:spacing w:before="80" w:after="100"/>
        <w:rPr/>
      </w:pPr>
      <w:r>
        <w:rPr>
          <w:rFonts w:ascii="Microsoft YaHei" w:hAnsi="Microsoft YaHei" w:eastAsia="Microsoft YaHei"/>
          <w:sz w:val="21"/>
        </w:rPr>
        <w:t>13.2 待确认信息清单</w:t>
      </w:r>
    </w:p>
    <w:p>
      <w:pPr>
        <w:spacing w:lineRule="auto" w:line="276" w:before="0" w:after="60"/>
        <w:jc w:val="center"/>
        <w:rPr/>
      </w:pPr>
      <w:r>
        <w:rPr>
          <w:rFonts w:ascii="Microsoft YaHei" w:hAnsi="Microsoft YaHei" w:eastAsia="Microsoft YaHei"/>
          <w:sz w:val="21"/>
        </w:rPr>
        <w:t>表 21 待确认信息清单</w:t>
      </w:r>
    </w:p>
    <w:tbl>
      <w:tblPr>
        <w:tblStyle w:val="TableGrid"/>
        <w:tblW w:w="15025" w:type="dxa"/>
        <w:jc w:val="center"/>
        <w:tblInd w:w="0" w:type="dxa"/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4a0" w:noHBand="0" w:noVBand="1" w:firstColumn="1" w:lastRow="0" w:lastColumn="0" w:firstRow="1"/>
      </w:tblPr>
      <w:tblGrid>
        <w:gridCol w:w="3005"/>
        <w:gridCol w:w="3005"/>
        <w:gridCol w:w="3005"/>
        <w:gridCol w:w="3005"/>
        <w:gridCol w:w="3005"/>
      </w:tblGrid>
      <w:tr>
        <w:trPr>
          <w:tblHeader w:val="true"/>
        </w:trPr>
        <w:tc>
          <w:tcPr>
            <w:tcW w:w="3005" w:type="dxa"/>
            <w:tcBorders/>
            <w:shd w:fill="D9EAF7"/>
            <w:vAlign w:val="center"/>
          </w:tcPr>
          <w:p>
            <w:pPr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序号</w:t>
            </w:r>
          </w:p>
        </w:tc>
        <w:tc>
          <w:tcPr>
            <w:tcW w:w="3005" w:type="dxa"/>
            <w:tcBorders/>
            <w:shd w:fill="D9EAF7"/>
            <w:vAlign w:val="center"/>
          </w:tcPr>
          <w:p>
            <w:pPr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待确认信息</w:t>
            </w:r>
          </w:p>
        </w:tc>
        <w:tc>
          <w:tcPr>
            <w:tcW w:w="3005" w:type="dxa"/>
            <w:tcBorders/>
            <w:shd w:fill="D9EAF7"/>
            <w:vAlign w:val="center"/>
          </w:tcPr>
          <w:p>
            <w:pPr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所在章节</w:t>
            </w:r>
          </w:p>
        </w:tc>
        <w:tc>
          <w:tcPr>
            <w:tcW w:w="3005" w:type="dxa"/>
            <w:tcBorders/>
            <w:shd w:fill="D9EAF7"/>
            <w:vAlign w:val="center"/>
          </w:tcPr>
          <w:p>
            <w:pPr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影响范围</w:t>
            </w:r>
          </w:p>
        </w:tc>
        <w:tc>
          <w:tcPr>
            <w:tcW w:w="3005" w:type="dxa"/>
            <w:tcBorders/>
            <w:shd w:fill="D9EAF7"/>
            <w:vAlign w:val="center"/>
          </w:tcPr>
          <w:p>
            <w:pPr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建议确认来源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1</w:t>
            </w:r>
          </w:p>
        </w:tc>
        <w:tc>
          <w:tcPr>
            <w:tcW w:w="3005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版本发布口径与签署流程</w:t>
            </w:r>
          </w:p>
        </w:tc>
        <w:tc>
          <w:tcPr>
            <w:tcW w:w="3005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封面、签署页、文件修改记录</w:t>
            </w:r>
          </w:p>
        </w:tc>
        <w:tc>
          <w:tcPr>
            <w:tcW w:w="3005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文档归档与提交流程</w:t>
            </w:r>
          </w:p>
        </w:tc>
        <w:tc>
          <w:tcPr>
            <w:tcW w:w="3005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课程项目提交说明、项目负责人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2</w:t>
            </w:r>
          </w:p>
        </w:tc>
        <w:tc>
          <w:tcPr>
            <w:tcW w:w="3005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审核、批准人员的最终签字信息</w:t>
            </w:r>
          </w:p>
        </w:tc>
        <w:tc>
          <w:tcPr>
            <w:tcW w:w="3005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签署页、文件修改记录</w:t>
            </w:r>
          </w:p>
        </w:tc>
        <w:tc>
          <w:tcPr>
            <w:tcW w:w="3005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文档签署完整性</w:t>
            </w:r>
          </w:p>
        </w:tc>
        <w:tc>
          <w:tcPr>
            <w:tcW w:w="3005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团队负责人、课程要求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3</w:t>
            </w:r>
          </w:p>
        </w:tc>
        <w:tc>
          <w:tcPr>
            <w:tcW w:w="3005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测试机硬件配置、浏览器版本、Python 版本、Docker 版本</w:t>
            </w:r>
          </w:p>
        </w:tc>
        <w:tc>
          <w:tcPr>
            <w:tcW w:w="3005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7.1、7.2、7.5、7.6</w:t>
            </w:r>
          </w:p>
        </w:tc>
        <w:tc>
          <w:tcPr>
            <w:tcW w:w="3005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测试环境复现性</w:t>
            </w:r>
          </w:p>
        </w:tc>
        <w:tc>
          <w:tcPr>
            <w:tcW w:w="3005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测试机器、部署说明、运行截图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4</w:t>
            </w:r>
          </w:p>
        </w:tc>
        <w:tc>
          <w:tcPr>
            <w:tcW w:w="3005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dify-lite 后端依赖清单</w:t>
            </w:r>
          </w:p>
        </w:tc>
        <w:tc>
          <w:tcPr>
            <w:tcW w:w="3005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7.2、7.6、12</w:t>
            </w:r>
          </w:p>
        </w:tc>
        <w:tc>
          <w:tcPr>
            <w:tcW w:w="3005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安装部署测试准确性</w:t>
            </w:r>
          </w:p>
        </w:tc>
        <w:tc>
          <w:tcPr>
            <w:tcW w:w="3005" w:type="dxa"/>
            <w:tcBorders/>
            <w:vAlign w:val="center"/>
          </w:tcPr>
          <w:p>
            <w:pPr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eastAsia="Microsoft YaHei"/>
                <w:sz w:val="21"/>
              </w:rPr>
              <w:t>requirements.txt、pyproject.toml、开发环境导出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5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账号与权限体系是否为正式需求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3.9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8.7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12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安全测试范围和通过准则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需求说明、安全设计、后端负责人确认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6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服务端历史、设置、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Dashboard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是否需闭环持久化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3.2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3.4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4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11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12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功能测试与追踪关系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接口联调记录、需求说明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7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Dify Workflow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实际配置、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API Key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dataset/app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关系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2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3.3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6.2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12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场景接口和全栈部署边界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Dify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控制台、后端配置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8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性能指标：响应时间、并发数、文档大小、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chunk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数、生成超时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3.10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8.8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12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性能测试准则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课程评分细则、验收标准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9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生产部署方式：域名、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HTTPS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、反向代理、服务化、备份恢复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5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7.5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12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部署测试和风险项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运维部署文档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10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安全策略：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CORS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、密钥替换、脱敏、审计日志、数据备份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3.9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8.7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12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安全性测试完整性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安全设计、部署规范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11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SQLite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当前演示数据内容和初始化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/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清理脚本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7.4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10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12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数据环境、回归测试和演示准备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数据库读取、演示数据说明</w:t>
            </w:r>
          </w:p>
        </w:tc>
      </w:tr>
      <w:tr>
        <w:trPr/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12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多架构或跨平台支持范围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3.11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7.5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、</w:t>
            </w: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12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兼容性测试范围</w:t>
            </w:r>
          </w:p>
        </w:tc>
        <w:tc>
          <w:tcPr>
            <w:tcW w:w="300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icrosoft YaHei" w:cs="Times New Roman" w:ascii="Microsoft YaHei" w:hAnsi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 xml:space="preserve">Docker </w:t>
            </w:r>
            <w:r>
              <w:rPr>
                <w:rFonts w:ascii="Microsoft YaHei" w:hAnsi="Microsoft YaHei" w:cs="Times New Roman" w:eastAsia="Microsoft YaHei"/>
                <w:b w:val="false"/>
                <w:kern w:val="0"/>
                <w:sz w:val="14"/>
                <w:szCs w:val="22"/>
                <w:lang w:val="en-US" w:eastAsia="en-US" w:bidi="ar-SA"/>
              </w:rPr>
              <w:t>镜像说明、部署环境清单</w:t>
            </w:r>
          </w:p>
        </w:tc>
      </w:tr>
    </w:tbl>
    <w:p>
      <w:pPr>
        <w:pStyle w:val="Normal"/>
        <w:spacing w:before="0" w:after="200"/>
        <w:rPr/>
      </w:pPr>
      <w:r>
        <w:rPr>
          <w:rFonts w:ascii="Microsoft YaHei" w:hAnsi="Microsoft YaHei" w:eastAsia="Microsoft YaHei"/>
          <w:sz w:val="21"/>
        </w:rPr>
      </w:r>
    </w:p>
    <w:sectPr>
      <w:footerReference w:type="default" r:id="rId5"/>
      <w:footerReference w:type="first" r:id="rId6"/>
      <w:type w:val="nextPage"/>
      <w:pgSz w:orient="landscape" w:w="16838" w:h="11906"/>
      <w:pgMar w:left="907" w:right="907" w:gutter="0" w:header="0" w:top="1020" w:footer="72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Fonts w:ascii="Microsoft YaHei" w:hAnsi="Microsoft YaHei" w:eastAsia="Microsoft YaHei"/>
        <w:sz w:val="21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Microsoft YaHei" w:hAnsi="Microsoft YaHei" w:cs="Times New Roman" w:eastAsia="Microsoft YaHei"/>
        <w:sz w:val="21"/>
      </w:rPr>
      <w:t xml:space="preserve">第 </w:t>
    </w:r>
    <w:r>
      <w:rPr>
        <w:rFonts w:ascii="Microsoft YaHei" w:hAnsi="Microsoft YaHei" w:eastAsia="Microsoft YaHei"/>
        <w:sz w:val="21"/>
      </w:rPr>
      <w:fldChar w:fldCharType="begin"/>
    </w:r>
    <w:r>
      <w:rPr>
        <w:rFonts w:ascii="Microsoft YaHei" w:hAnsi="Microsoft YaHei" w:eastAsia="Microsoft YaHei"/>
        <w:sz w:val="21"/>
      </w:rPr>
      <w:instrText xml:space="preserve"> PAGE </w:instrText>
    </w:r>
    <w:r>
      <w:rPr>
        <w:rFonts w:ascii="Microsoft YaHei" w:hAnsi="Microsoft YaHei" w:eastAsia="Microsoft YaHei"/>
        <w:sz w:val="21"/>
      </w:rPr>
      <w:fldChar w:fldCharType="separate"/>
    </w:r>
    <w:r>
      <w:rPr>
        <w:rFonts w:ascii="Microsoft YaHei" w:hAnsi="Microsoft YaHei" w:eastAsia="Microsoft YaHei"/>
        <w:sz w:val="21"/>
      </w:rPr>
      <w:t>7</w:t>
    </w:r>
    <w:r>
      <w:rPr>
        <w:rFonts w:ascii="Microsoft YaHei" w:hAnsi="Microsoft YaHei" w:eastAsia="Microsoft YaHei"/>
        <w:sz w:val="21"/>
      </w:rPr>
      <w:fldChar w:fldCharType="end"/>
    </w:r>
    <w:r>
      <w:rPr>
        <w:rFonts w:ascii="Microsoft YaHei" w:hAnsi="Microsoft YaHei" w:cs="Times New Roman" w:eastAsia="Microsoft YaHei"/>
        <w:sz w:val="21"/>
      </w:rPr>
      <w:t xml:space="preserve"> 页第 </w:t>
    </w:r>
    <w:r>
      <w:rPr>
        <w:rFonts w:ascii="Microsoft YaHei" w:hAnsi="Microsoft YaHei" w:eastAsia="Microsoft YaHei"/>
        <w:sz w:val="21"/>
      </w:rPr>
      <w:fldChar w:fldCharType="begin"/>
    </w:r>
    <w:r>
      <w:rPr>
        <w:rFonts w:ascii="Microsoft YaHei" w:hAnsi="Microsoft YaHei" w:eastAsia="Microsoft YaHei"/>
        <w:sz w:val="21"/>
      </w:rPr>
      <w:instrText xml:space="preserve"> PAGE </w:instrText>
    </w:r>
    <w:r>
      <w:rPr>
        <w:rFonts w:ascii="Microsoft YaHei" w:hAnsi="Microsoft YaHei" w:eastAsia="Microsoft YaHei"/>
        <w:sz w:val="21"/>
      </w:rPr>
      <w:fldChar w:fldCharType="separate"/>
    </w:r>
    <w:r>
      <w:rPr>
        <w:rFonts w:ascii="Microsoft YaHei" w:hAnsi="Microsoft YaHei" w:eastAsia="Microsoft YaHei"/>
        <w:sz w:val="21"/>
      </w:rPr>
      <w:t>7</w:t>
    </w:r>
    <w:r>
      <w:rPr>
        <w:rFonts w:ascii="Microsoft YaHei" w:hAnsi="Microsoft YaHei" w:eastAsia="Microsoft YaHei"/>
        <w:sz w:val="21"/>
      </w:rPr>
      <w:fldChar w:fldCharType="end"/>
    </w:r>
    <w:r>
      <w:rPr>
        <w:rFonts w:ascii="Microsoft YaHei" w:hAnsi="Microsoft YaHei" w:cs="Times New Roman" w:eastAsia="Microsoft YaHei"/>
        <w:sz w:val="21"/>
      </w:rPr>
      <w:t xml:space="preserve"> 页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Microsoft YaHei" w:hAnsi="Microsoft YaHei" w:cs="Times New Roman" w:eastAsia="Microsoft YaHei"/>
        <w:sz w:val="21"/>
      </w:rPr>
      <w:t xml:space="preserve">第 </w:t>
    </w:r>
    <w:r>
      <w:rPr>
        <w:rFonts w:ascii="Microsoft YaHei" w:hAnsi="Microsoft YaHei" w:eastAsia="Microsoft YaHei"/>
        <w:sz w:val="21"/>
      </w:rPr>
      <w:fldChar w:fldCharType="begin"/>
    </w:r>
    <w:r>
      <w:rPr>
        <w:rFonts w:ascii="Microsoft YaHei" w:hAnsi="Microsoft YaHei" w:eastAsia="Microsoft YaHei"/>
        <w:sz w:val="21"/>
      </w:rPr>
      <w:instrText xml:space="preserve"> PAGE </w:instrText>
    </w:r>
    <w:r>
      <w:rPr>
        <w:rFonts w:ascii="Microsoft YaHei" w:hAnsi="Microsoft YaHei" w:eastAsia="Microsoft YaHei"/>
        <w:sz w:val="21"/>
      </w:rPr>
      <w:fldChar w:fldCharType="separate"/>
    </w:r>
    <w:r>
      <w:rPr>
        <w:rFonts w:ascii="Microsoft YaHei" w:hAnsi="Microsoft YaHei" w:eastAsia="Microsoft YaHei"/>
        <w:sz w:val="21"/>
      </w:rPr>
      <w:t>7</w:t>
    </w:r>
    <w:r>
      <w:rPr>
        <w:rFonts w:ascii="Microsoft YaHei" w:hAnsi="Microsoft YaHei" w:eastAsia="Microsoft YaHei"/>
        <w:sz w:val="21"/>
      </w:rPr>
      <w:fldChar w:fldCharType="end"/>
    </w:r>
    <w:r>
      <w:rPr>
        <w:rFonts w:ascii="Microsoft YaHei" w:hAnsi="Microsoft YaHei" w:cs="Times New Roman" w:eastAsia="Microsoft YaHei"/>
        <w:sz w:val="21"/>
      </w:rPr>
      <w:t xml:space="preserve"> 页第 </w:t>
    </w:r>
    <w:r>
      <w:rPr>
        <w:rFonts w:ascii="Microsoft YaHei" w:hAnsi="Microsoft YaHei" w:eastAsia="Microsoft YaHei"/>
        <w:sz w:val="21"/>
      </w:rPr>
      <w:fldChar w:fldCharType="begin"/>
    </w:r>
    <w:r>
      <w:rPr>
        <w:rFonts w:ascii="Microsoft YaHei" w:hAnsi="Microsoft YaHei" w:eastAsia="Microsoft YaHei"/>
        <w:sz w:val="21"/>
      </w:rPr>
      <w:instrText xml:space="preserve"> PAGE </w:instrText>
    </w:r>
    <w:r>
      <w:rPr>
        <w:rFonts w:ascii="Microsoft YaHei" w:hAnsi="Microsoft YaHei" w:eastAsia="Microsoft YaHei"/>
        <w:sz w:val="21"/>
      </w:rPr>
      <w:fldChar w:fldCharType="separate"/>
    </w:r>
    <w:r>
      <w:rPr>
        <w:rFonts w:ascii="Microsoft YaHei" w:hAnsi="Microsoft YaHei" w:eastAsia="Microsoft YaHei"/>
        <w:sz w:val="21"/>
      </w:rPr>
      <w:t>7</w:t>
    </w:r>
    <w:r>
      <w:rPr>
        <w:rFonts w:ascii="Microsoft YaHei" w:hAnsi="Microsoft YaHei" w:eastAsia="Microsoft YaHei"/>
        <w:sz w:val="21"/>
      </w:rPr>
      <w:fldChar w:fldCharType="end"/>
    </w:r>
    <w:r>
      <w:rPr>
        <w:rFonts w:ascii="Microsoft YaHei" w:hAnsi="Microsoft YaHei" w:cs="Times New Roman" w:eastAsia="Microsoft YaHei"/>
        <w:sz w:val="21"/>
      </w:rPr>
      <w:t xml:space="preserve"> 页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ascii="Microsoft YaHei" w:hAnsi="Microsoft YaHei" w:cs="Times New Roman" w:eastAsia="Microsoft YaHei"/>
        <w:sz w:val="21"/>
      </w:rPr>
      <w:t xml:space="preserve">第 </w:t>
    </w:r>
    <w:r>
      <w:rPr>
        <w:rFonts w:ascii="Microsoft YaHei" w:hAnsi="Microsoft YaHei" w:eastAsia="Microsoft YaHei"/>
        <w:sz w:val="21"/>
      </w:rPr>
      <w:fldChar w:fldCharType="begin"/>
    </w:r>
    <w:r>
      <w:rPr>
        <w:rFonts w:ascii="Microsoft YaHei" w:hAnsi="Microsoft YaHei" w:eastAsia="Microsoft YaHei"/>
        <w:sz w:val="21"/>
      </w:rPr>
      <w:instrText xml:space="preserve"> PAGE </w:instrText>
    </w:r>
    <w:r>
      <w:rPr>
        <w:rFonts w:ascii="Microsoft YaHei" w:hAnsi="Microsoft YaHei" w:eastAsia="Microsoft YaHei"/>
        <w:sz w:val="21"/>
      </w:rPr>
      <w:fldChar w:fldCharType="separate"/>
    </w:r>
    <w:r>
      <w:rPr>
        <w:rFonts w:ascii="Microsoft YaHei" w:hAnsi="Microsoft YaHei" w:eastAsia="Microsoft YaHei"/>
        <w:sz w:val="21"/>
      </w:rPr>
      <w:t>28</w:t>
    </w:r>
    <w:r>
      <w:rPr>
        <w:rFonts w:ascii="Microsoft YaHei" w:hAnsi="Microsoft YaHei" w:eastAsia="Microsoft YaHei"/>
        <w:sz w:val="21"/>
      </w:rPr>
      <w:fldChar w:fldCharType="end"/>
    </w:r>
    <w:r>
      <w:rPr>
        <w:rFonts w:ascii="Microsoft YaHei" w:hAnsi="Microsoft YaHei" w:cs="Times New Roman" w:eastAsia="Microsoft YaHei"/>
        <w:sz w:val="21"/>
      </w:rPr>
      <w:t xml:space="preserve"> 页第 </w:t>
    </w:r>
    <w:r>
      <w:rPr>
        <w:rFonts w:ascii="Microsoft YaHei" w:hAnsi="Microsoft YaHei" w:eastAsia="Microsoft YaHei"/>
        <w:sz w:val="21"/>
      </w:rPr>
      <w:fldChar w:fldCharType="begin"/>
    </w:r>
    <w:r>
      <w:rPr>
        <w:rFonts w:ascii="Microsoft YaHei" w:hAnsi="Microsoft YaHei" w:eastAsia="Microsoft YaHei"/>
        <w:sz w:val="21"/>
      </w:rPr>
      <w:instrText xml:space="preserve"> PAGE </w:instrText>
    </w:r>
    <w:r>
      <w:rPr>
        <w:rFonts w:ascii="Microsoft YaHei" w:hAnsi="Microsoft YaHei" w:eastAsia="Microsoft YaHei"/>
        <w:sz w:val="21"/>
      </w:rPr>
      <w:fldChar w:fldCharType="separate"/>
    </w:r>
    <w:r>
      <w:rPr>
        <w:rFonts w:ascii="Microsoft YaHei" w:hAnsi="Microsoft YaHei" w:eastAsia="Microsoft YaHei"/>
        <w:sz w:val="21"/>
      </w:rPr>
      <w:t>28</w:t>
    </w:r>
    <w:r>
      <w:rPr>
        <w:rFonts w:ascii="Microsoft YaHei" w:hAnsi="Microsoft YaHei" w:eastAsia="Microsoft YaHei"/>
        <w:sz w:val="21"/>
      </w:rPr>
      <w:fldChar w:fldCharType="end"/>
    </w:r>
    <w:r>
      <w:rPr>
        <w:rFonts w:ascii="Microsoft YaHei" w:hAnsi="Microsoft YaHei" w:cs="Times New Roman" w:eastAsia="Microsoft YaHei"/>
        <w:sz w:val="21"/>
      </w:rPr>
      <w:t xml:space="preserve"> 页</w: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Times New Roman" w:hAnsi="Times New Roman" w:eastAsia="SimSun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1">
    <w:name w:val="toc 1"/>
    <w:basedOn w:val="Index"/>
    <w:pPr>
      <w:tabs>
        <w:tab w:val="clear" w:pos="720"/>
        <w:tab w:val="right" w:pos="9298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15" w:leader="dot"/>
      </w:tabs>
      <w:ind w:hanging="0" w:left="283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26</Pages>
  <Words>16882</Words>
  <Characters>25429</Characters>
  <CharactersWithSpaces>26355</CharactersWithSpaces>
  <Paragraphs>1717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SuperRAG 项目组</dc:creator>
  <dc:description>generated by python-docx</dc:description>
  <dc:language>en-US</dc:language>
  <cp:lastModifiedBy/>
  <dcterms:modified xsi:type="dcterms:W3CDTF">2026-06-03T01:29:22Z</dcterms:modified>
  <cp:revision>2</cp:revision>
  <dc:subject>企业私有知识驱动的软件工程辅助系统测试大纲</dc:subject>
  <dc:title>SuperRAG 软件测试大纲</dc:title>
  <cp:keywords>SuperRAG, 软件测试大纲, RAG, Flask, SQLite, Dify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