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0FAC" w14:textId="77777777" w:rsidR="002C0157" w:rsidRDefault="002C0157"/>
    <w:p w14:paraId="178409BC" w14:textId="77777777" w:rsidR="002C0157" w:rsidRDefault="002C0157"/>
    <w:p w14:paraId="3F763961" w14:textId="77777777" w:rsidR="002C0157" w:rsidRDefault="002C0157"/>
    <w:p w14:paraId="35840E0A" w14:textId="77777777" w:rsidR="002C0157" w:rsidRDefault="002C0157"/>
    <w:p w14:paraId="261B5A45" w14:textId="77777777" w:rsidR="002C0157" w:rsidRDefault="002C0157"/>
    <w:p w14:paraId="0262CB3B" w14:textId="77777777" w:rsidR="002C0157" w:rsidRDefault="002C0157"/>
    <w:p w14:paraId="231B58D2" w14:textId="77777777" w:rsidR="002C0157" w:rsidRDefault="00000000">
      <w:pPr>
        <w:jc w:val="center"/>
      </w:pPr>
      <w:r>
        <w:rPr>
          <w:b/>
        </w:rPr>
        <w:t>Adult Learner Profile: Technical and Community College Automotive Technology Students</w:t>
      </w:r>
    </w:p>
    <w:p w14:paraId="6B2B4795" w14:textId="77777777" w:rsidR="002C0157" w:rsidRDefault="00000000">
      <w:pPr>
        <w:jc w:val="center"/>
      </w:pPr>
      <w:r>
        <w:t>Rafael Rodriguez</w:t>
      </w:r>
    </w:p>
    <w:p w14:paraId="7666010F" w14:textId="77777777" w:rsidR="002C0157" w:rsidRDefault="00000000">
      <w:pPr>
        <w:jc w:val="center"/>
      </w:pPr>
      <w:r>
        <w:t>TTED 731 Adult Learners</w:t>
      </w:r>
    </w:p>
    <w:p w14:paraId="424385E0" w14:textId="77777777" w:rsidR="002C0157" w:rsidRDefault="00000000">
      <w:pPr>
        <w:jc w:val="center"/>
      </w:pPr>
      <w:r>
        <w:t>Pittsburg State University</w:t>
      </w:r>
    </w:p>
    <w:p w14:paraId="3373ABBB" w14:textId="77777777" w:rsidR="002C0157" w:rsidRDefault="00000000">
      <w:pPr>
        <w:jc w:val="center"/>
      </w:pPr>
      <w:r>
        <w:t>Dr. Greg Belcher</w:t>
      </w:r>
    </w:p>
    <w:p w14:paraId="778FF81A" w14:textId="77777777" w:rsidR="002C0157" w:rsidRDefault="00000000">
      <w:pPr>
        <w:jc w:val="center"/>
      </w:pPr>
      <w:r>
        <w:t>Summer 2026</w:t>
      </w:r>
    </w:p>
    <w:p w14:paraId="692DEF1C" w14:textId="77777777" w:rsidR="002C0157" w:rsidRDefault="00000000">
      <w:r>
        <w:br w:type="page"/>
      </w:r>
    </w:p>
    <w:p w14:paraId="223AF425" w14:textId="77777777" w:rsidR="002C0157" w:rsidRDefault="00000000">
      <w:pPr>
        <w:pStyle w:val="Heading1"/>
        <w:jc w:val="center"/>
      </w:pPr>
      <w:r>
        <w:lastRenderedPageBreak/>
        <w:t>Adult Learner Profile: Technical and Community College Automotive Technology Students</w:t>
      </w:r>
    </w:p>
    <w:p w14:paraId="4AB4E34B" w14:textId="77777777" w:rsidR="002C0157" w:rsidRDefault="00000000">
      <w:pPr>
        <w:pStyle w:val="Heading2"/>
      </w:pPr>
      <w:r>
        <w:t>Description of the Learning Environment</w:t>
      </w:r>
    </w:p>
    <w:p w14:paraId="18808266" w14:textId="77777777" w:rsidR="002C0157" w:rsidRDefault="00000000">
      <w:r>
        <w:t>The adult learner population selected for this profile is post-secondary Automotive Technology students in a technical or community college setting. This environment fits my experience because I have taught Automotive Technology at the post-secondary level for six years. Adult learners in this program are preparing for employment, promotion, certification, or a career change. They are not only learning how to repair vehicles; they are learning how to think, communicate, document, and solve technical problems in a professional setting.</w:t>
      </w:r>
    </w:p>
    <w:p w14:paraId="151747D8" w14:textId="77777777" w:rsidR="002C0157" w:rsidRDefault="00000000">
      <w:r>
        <w:t>Automotive Technology instruction combines classroom learning, online resources, demonstrations, and hands-on laboratory work. Students use scan tools, wiring diagrams, service information, meters, and shop equipment to diagnose real vehicle concerns. The environment is competency based because students must demonstrate that they can perform tasks safely and correctly. This learning environment also supports the TTED 731 course focus on adult learner characteristics, motivation, barriers, Universal Design for Learning, cognitive processing, and matching instruction to learner needs.</w:t>
      </w:r>
    </w:p>
    <w:p w14:paraId="392BD334" w14:textId="77777777" w:rsidR="002C0157" w:rsidRDefault="00000000">
      <w:pPr>
        <w:pStyle w:val="Heading2"/>
      </w:pPr>
      <w:r>
        <w:t>Demographic Characteristics</w:t>
      </w:r>
    </w:p>
    <w:p w14:paraId="61525266" w14:textId="77777777" w:rsidR="002C0157" w:rsidRDefault="00000000">
      <w:r>
        <w:t>Students in a post-secondary automotive program vary widely. Some are recent high school graduates, while others are veterans, working adults, parents, career changers, or experienced technicians returning for updated skills. Many are first-generation college students or students who have been away from school for years. Their academic preparation also varies. Some students are strong in hands-on work but struggle with technical reading or written explanations. Others are comfortable academically but need more shop experience.</w:t>
      </w:r>
    </w:p>
    <w:p w14:paraId="2E2FEB19" w14:textId="77777777" w:rsidR="002C0157" w:rsidRDefault="00000000">
      <w:r>
        <w:lastRenderedPageBreak/>
        <w:t>Because the population is so diverse, instructors must avoid assuming that all students need the same type of support. Research on automotive technology students shows that many students have career interests that align with realistic, hands-on technical work, but instructors still need to support career development and instructional variety (Maldonado et al., 2020).</w:t>
      </w:r>
    </w:p>
    <w:p w14:paraId="7F5AE1F7" w14:textId="77777777" w:rsidR="002C0157" w:rsidRDefault="00000000">
      <w:pPr>
        <w:pStyle w:val="Heading2"/>
      </w:pPr>
      <w:r>
        <w:t>Motivational Factors</w:t>
      </w:r>
    </w:p>
    <w:p w14:paraId="5C9BB04C" w14:textId="77777777" w:rsidR="002C0157" w:rsidRDefault="00000000">
      <w:r>
        <w:t>Adult automotive learners are often motivated by practical outcomes. They want stable employment, higher wages, ASE certification, career advancement, and confidence in their diagnostic ability. Some are motivated by family responsibilities, while others are motivated by pride in becoming skilled technicians. Adult learning research supports the idea that adults are more engaged when learning is relevant and connected to real-life goals (St. Clair, 2024).</w:t>
      </w:r>
    </w:p>
    <w:p w14:paraId="5BC73F48" w14:textId="77777777" w:rsidR="002C0157" w:rsidRDefault="00000000">
      <w:r>
        <w:t>In my experience, students become more motivated when lessons begin with an authentic vehicle concern. A wiring diagram becomes more meaningful when it helps diagnose an electrical fault. Scan-tool data becomes more important when it explains a drivability complaint. Bellare et al. (2023) found that adult learners are motivated by career improvement but also need institutional support to overcome barriers.</w:t>
      </w:r>
    </w:p>
    <w:p w14:paraId="05D387AC" w14:textId="77777777" w:rsidR="002C0157" w:rsidRDefault="00000000">
      <w:pPr>
        <w:pStyle w:val="Heading2"/>
      </w:pPr>
      <w:r>
        <w:t>Barriers to Participation</w:t>
      </w:r>
    </w:p>
    <w:p w14:paraId="1F089526" w14:textId="77777777" w:rsidR="002C0157" w:rsidRDefault="00000000">
      <w:r>
        <w:t>Adult learners often face barriers that affect attendance, persistence, and performance. These include work schedules, childcare, transportation, finances, tool costs, limited study time, and anxiety about returning to school. Automotive students may also struggle with technical vocabulary, electrical theory, computer-based service information, and mathematics. These barriers do not mean students lack motivation; they mean the program must provide structure and support.</w:t>
      </w:r>
    </w:p>
    <w:p w14:paraId="274E871B" w14:textId="77777777" w:rsidR="002C0157" w:rsidRDefault="00000000">
      <w:r>
        <w:lastRenderedPageBreak/>
        <w:t>Retention research in community colleges shows that adult learners benefit from academic challenge and learner support (Spitzig &amp; Renner, 2025). Financial support also matters. In a study of Tennessee Colleges of Applied Technology, financial aid and prior educational experience were connected to credential completion (Kamer, 2023). These findings are important for technical programs because students often have significant program costs and outside responsibilities.</w:t>
      </w:r>
    </w:p>
    <w:p w14:paraId="0AA1E869" w14:textId="77777777" w:rsidR="002C0157" w:rsidRDefault="00000000">
      <w:pPr>
        <w:pStyle w:val="Heading2"/>
      </w:pPr>
      <w:r>
        <w:t>Educational Needs</w:t>
      </w:r>
    </w:p>
    <w:p w14:paraId="005DB035" w14:textId="77777777" w:rsidR="002C0157" w:rsidRDefault="00000000">
      <w:r>
        <w:t>Adult automotive learners need instruction that is practical, organized, respectful, and flexible. They benefit from clear demonstrations, guided practice, checklists, feedback, and opportunities to apply concepts immediately. Universal Design for Learning is useful because students learn in different ways. Fornauf and Erickson (2020) explain that UDL in higher education can help address student diversity and reduce barriers to learning.</w:t>
      </w:r>
    </w:p>
    <w:p w14:paraId="253D8D3D" w14:textId="77777777" w:rsidR="002C0157" w:rsidRDefault="00000000">
      <w:r>
        <w:t>In an automotive classroom, UDL may include diagrams, videos, demonstrations, lab sheets, small-group troubleshooting, oral explanation, and performance-based assessment. Differentiated instruction is also necessary. A student with shop experience may need a deeper diagnostic challenge, while a beginner may need structured practice with tools, safety, and basic procedures. Both students can be held to the same standards while receiving different levels of support.</w:t>
      </w:r>
    </w:p>
    <w:p w14:paraId="4560288A" w14:textId="77777777" w:rsidR="002C0157" w:rsidRDefault="00000000">
      <w:pPr>
        <w:pStyle w:val="Heading2"/>
      </w:pPr>
      <w:r>
        <w:t>Relevant Adult Learning Theories</w:t>
      </w:r>
    </w:p>
    <w:p w14:paraId="15001405" w14:textId="77777777" w:rsidR="002C0157" w:rsidRDefault="00000000">
      <w:r>
        <w:t xml:space="preserve">Andragogy is highly relevant because adult students want to know why they are learning something and how it applies to their goals. Mews (2020) describes andragogy as a useful framework for educating and working with adults in higher education. Livingston and </w:t>
      </w:r>
      <w:r>
        <w:lastRenderedPageBreak/>
        <w:t>Cummings-Clay (2023) also emphasize that adult learners benefit from learner-centered approaches such as problem-based learning, team-based learning, and reflective activities.</w:t>
      </w:r>
    </w:p>
    <w:p w14:paraId="3F0CCE25" w14:textId="77777777" w:rsidR="002C0157" w:rsidRDefault="00000000">
      <w:r>
        <w:t>Metacognition is especially important in automotive diagnostics. Students must learn to monitor their thinking instead of guessing. Winne (2022) describes metacognition as central to self-regulated learning. In practice, I can support this by asking students what they tested, why they tested it, what result they expected, and what the next diagnostic step should be. Work-based learning also supports adult learners because it connects school to employment. Johnson (2022) found that employer participation in internships strengthens partnerships and workforce preparation.</w:t>
      </w:r>
    </w:p>
    <w:p w14:paraId="694D4279" w14:textId="77777777" w:rsidR="002C0157" w:rsidRDefault="00000000">
      <w:pPr>
        <w:pStyle w:val="Heading2"/>
      </w:pPr>
      <w:r>
        <w:t>Instructor Reflection and Conclusion</w:t>
      </w:r>
    </w:p>
    <w:p w14:paraId="53FBFE69" w14:textId="77777777" w:rsidR="002C0157" w:rsidRDefault="00000000">
      <w:r>
        <w:t>My six years of post-secondary teaching have shown me that adult learners respond best when they are respected as adults and shown the purpose behind the lesson. They want instruction that is honest, practical, and connected to the workplace. They also need encouragement when they make mistakes, especially in diagnostics where mistakes can become valuable learning moments.</w:t>
      </w:r>
    </w:p>
    <w:p w14:paraId="055BF5EA" w14:textId="77777777" w:rsidR="002C0157" w:rsidRDefault="00000000">
      <w:r>
        <w:t>Post-secondary Automotive Technology students are a diverse adult learner population with strong career goals and real barriers to participation. By understanding their demographics, motivations, barriers, and educational needs, instructors can design learning experiences that promote confidence, persistence, and career readiness. Recent peer-reviewed research supports using andragogy, UDL, metacognition, student engagement strategies, and work-based learning to help adult technical learners succeed.</w:t>
      </w:r>
    </w:p>
    <w:p w14:paraId="33F5B779" w14:textId="77777777" w:rsidR="002C0157" w:rsidRDefault="00000000">
      <w:r>
        <w:br w:type="page"/>
      </w:r>
    </w:p>
    <w:p w14:paraId="748C6FE6" w14:textId="77777777" w:rsidR="002C0157" w:rsidRDefault="00000000">
      <w:pPr>
        <w:pStyle w:val="Heading1"/>
        <w:jc w:val="center"/>
      </w:pPr>
      <w:r>
        <w:lastRenderedPageBreak/>
        <w:t>References</w:t>
      </w:r>
    </w:p>
    <w:p w14:paraId="4AADCDAE" w14:textId="77777777" w:rsidR="002C0157" w:rsidRDefault="00000000">
      <w:pPr>
        <w:ind w:left="720" w:hanging="720"/>
      </w:pPr>
      <w:r>
        <w:t>Bellare, Y., Smith, A., Cochran, K., &amp; Lopez, S. G. (2023). Motivations and barriers for adult learner achievement: Recommendations for institutions of higher education. Adult Learning, 34(1), 30-39. https://doi.org/10.1177/10451595211059574</w:t>
      </w:r>
    </w:p>
    <w:p w14:paraId="08B86142" w14:textId="77777777" w:rsidR="002C0157" w:rsidRDefault="00000000">
      <w:pPr>
        <w:ind w:left="720" w:hanging="720"/>
      </w:pPr>
      <w:r>
        <w:t>Fornauf, B. S., &amp; Erickson, J. D. (2020). Toward an inclusive pedagogy through Universal Design for Learning in higher education: A review of the literature. Journal of Postsecondary Education and Disability, 33(2), 183-199.</w:t>
      </w:r>
    </w:p>
    <w:p w14:paraId="2477DAAC" w14:textId="77777777" w:rsidR="002C0157" w:rsidRDefault="00000000">
      <w:pPr>
        <w:ind w:left="720" w:hanging="720"/>
      </w:pPr>
      <w:r>
        <w:t>Johnson, K. W. (2022). An exploration of employer participation in internships and other work-based learning experiences. Journal of Career and Technical Education, 37(1), 1-20. https://doi.org/10.21061/jtce.v37i1.a1</w:t>
      </w:r>
    </w:p>
    <w:p w14:paraId="250CCD15" w14:textId="77777777" w:rsidR="002C0157" w:rsidRDefault="00000000">
      <w:pPr>
        <w:ind w:left="720" w:hanging="720"/>
      </w:pPr>
      <w:r>
        <w:t>Kamer, J. A. (2023). Building Tennessee's workforce: An assessment of credential completion at Tennessee Colleges of Applied Technology. Journal of Career and Technical Education, 38(1), 1-18.</w:t>
      </w:r>
    </w:p>
    <w:p w14:paraId="772454E0" w14:textId="77777777" w:rsidR="002C0157" w:rsidRDefault="00000000">
      <w:pPr>
        <w:ind w:left="720" w:hanging="720"/>
      </w:pPr>
      <w:r>
        <w:t>Livingston, M., &amp; Cummings-Clay, D. (2023). Advancing adult learning using andragogic instructional practices. International Journal of Multidisciplinary Perspectives in Higher Education, 8(1), 29-53.</w:t>
      </w:r>
    </w:p>
    <w:p w14:paraId="47D902B2" w14:textId="77777777" w:rsidR="002C0157" w:rsidRDefault="00000000">
      <w:pPr>
        <w:ind w:left="720" w:hanging="720"/>
      </w:pPr>
      <w:r>
        <w:t>Maldonado, L. G., Kim, K., &amp; Threeton, M. D. (2020). An application of Holland's theory to career interests and selected careers of Automotive Technology students. Journal of Career and Technical Education, 35(1), 36-54. https://doi.org/10.21061/jcte.v35i1.a3</w:t>
      </w:r>
    </w:p>
    <w:p w14:paraId="6B49411A" w14:textId="77777777" w:rsidR="002C0157" w:rsidRDefault="00000000">
      <w:pPr>
        <w:ind w:left="720" w:hanging="720"/>
      </w:pPr>
      <w:r>
        <w:t>Mews, J. (2020). Leading through andragogy. College and University, 95(1), 65-68.</w:t>
      </w:r>
    </w:p>
    <w:p w14:paraId="7453657F" w14:textId="77777777" w:rsidR="002C0157" w:rsidRDefault="00000000">
      <w:pPr>
        <w:ind w:left="720" w:hanging="720"/>
      </w:pPr>
      <w:r>
        <w:t>Spitzig, J., &amp; Renner, B. J. (2025). Student engagement and retention of adult learners at community colleges. Journal of College Student Retention: Research, Theory &amp; Practice. https://doi.org/10.1177/15210251221138065</w:t>
      </w:r>
    </w:p>
    <w:p w14:paraId="3E69BE6F" w14:textId="77777777" w:rsidR="002C0157" w:rsidRDefault="00000000">
      <w:pPr>
        <w:ind w:left="720" w:hanging="720"/>
      </w:pPr>
      <w:r>
        <w:lastRenderedPageBreak/>
        <w:t>St. Clair, R. (2024). Andragogy: Past and present potential. New Directions for Adult and Continuing Education, 2024(184), 7-13. https://doi.org/10.1002/ace.20546</w:t>
      </w:r>
    </w:p>
    <w:p w14:paraId="79BB878E" w14:textId="77777777" w:rsidR="002C0157" w:rsidRDefault="00000000">
      <w:pPr>
        <w:ind w:left="720" w:hanging="720"/>
      </w:pPr>
      <w:r>
        <w:t>Winne, P. H. (2022). Modeling self-regulated learning as learners doing learning science: How trace data and learning analytics help develop skills for self-regulated learning. Metacognition and Learning, 17(3), 773-791.</w:t>
      </w:r>
    </w:p>
    <w:sectPr w:rsidR="002C015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3766140">
    <w:abstractNumId w:val="8"/>
  </w:num>
  <w:num w:numId="2" w16cid:durableId="659624002">
    <w:abstractNumId w:val="6"/>
  </w:num>
  <w:num w:numId="3" w16cid:durableId="2083796054">
    <w:abstractNumId w:val="5"/>
  </w:num>
  <w:num w:numId="4" w16cid:durableId="18243793">
    <w:abstractNumId w:val="4"/>
  </w:num>
  <w:num w:numId="5" w16cid:durableId="2034916379">
    <w:abstractNumId w:val="7"/>
  </w:num>
  <w:num w:numId="6" w16cid:durableId="1292445370">
    <w:abstractNumId w:val="3"/>
  </w:num>
  <w:num w:numId="7" w16cid:durableId="1883513786">
    <w:abstractNumId w:val="2"/>
  </w:num>
  <w:num w:numId="8" w16cid:durableId="1040325846">
    <w:abstractNumId w:val="1"/>
  </w:num>
  <w:num w:numId="9" w16cid:durableId="1830948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157"/>
    <w:rsid w:val="00326F90"/>
    <w:rsid w:val="00A74F42"/>
    <w:rsid w:val="00AA1D8D"/>
    <w:rsid w:val="00AC505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1DF55"/>
  <w14:defaultImageDpi w14:val="300"/>
  <w15:docId w15:val="{B3248140-9F78-4616-B089-A12A52E8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1221</Words>
  <Characters>7952</Characters>
  <Application>Microsoft Office Word</Application>
  <DocSecurity>0</DocSecurity>
  <Lines>130</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Rodriguez</dc:creator>
  <cp:keywords/>
  <dc:description/>
  <cp:lastModifiedBy>rafael rodriguez</cp:lastModifiedBy>
  <cp:revision>2</cp:revision>
  <dcterms:created xsi:type="dcterms:W3CDTF">2013-12-23T23:15:00Z</dcterms:created>
  <dcterms:modified xsi:type="dcterms:W3CDTF">2026-06-30T04:41:00Z</dcterms:modified>
  <cp:category/>
</cp:coreProperties>
</file>