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b/>
          <w:sz w:val="28"/>
        </w:rPr>
        <w:t>Adult Learning Environment Design Project for AI‑Supported Automotive Electrical Diagnostics</w:t>
      </w:r>
    </w:p>
    <w:p>
      <w:pPr>
        <w:spacing w:before="0" w:after="0" w:line="480" w:lineRule="auto"/>
        <w:jc w:val="center"/>
      </w:pPr>
      <w:r>
        <w:t>Rafael Rodriguez</w:t>
      </w:r>
    </w:p>
    <w:p>
      <w:pPr>
        <w:spacing w:before="0" w:after="0" w:line="480" w:lineRule="auto"/>
        <w:jc w:val="center"/>
      </w:pPr>
      <w:r>
        <w:t>Department of Technology and Workforce Development</w:t>
      </w:r>
    </w:p>
    <w:p>
      <w:pPr>
        <w:spacing w:before="0" w:after="0" w:line="480" w:lineRule="auto"/>
        <w:jc w:val="center"/>
      </w:pPr>
      <w:r>
        <w:t>Pittsburg State University</w:t>
      </w:r>
    </w:p>
    <w:p>
      <w:pPr>
        <w:spacing w:before="0" w:after="0" w:line="480" w:lineRule="auto"/>
        <w:jc w:val="center"/>
      </w:pPr>
      <w:r>
        <w:t>TTED 731 – Adult Learners</w:t>
      </w:r>
    </w:p>
    <w:p>
      <w:pPr>
        <w:spacing w:before="0" w:after="0" w:line="480" w:lineRule="auto"/>
        <w:jc w:val="center"/>
      </w:pPr>
      <w:r>
        <w:t>Dr. Greg Belcher</w:t>
      </w:r>
    </w:p>
    <w:p>
      <w:pPr>
        <w:spacing w:before="0" w:after="0" w:line="480" w:lineRule="auto"/>
        <w:jc w:val="center"/>
      </w:pPr>
      <w:r>
        <w:t>July 23, 2026</w:t>
      </w:r>
    </w:p>
    <w:p>
      <w:r>
        <w:br w:type="page"/>
      </w:r>
    </w:p>
    <w:p>
      <w:pPr>
        <w:spacing w:before="0" w:after="0" w:line="480" w:lineRule="auto"/>
      </w:pPr>
      <w:r>
        <w:t>&lt;div style="page-break-after: always;"&gt;&lt;/div&gt;</w:t>
      </w:r>
    </w:p>
    <w:p>
      <w:pPr>
        <w:pStyle w:val="Heading1"/>
        <w:spacing w:before="0" w:after="0" w:line="480" w:lineRule="auto"/>
        <w:jc w:val="center"/>
      </w:pPr>
      <w:r>
        <w:t>Introduction</w:t>
      </w:r>
    </w:p>
    <w:p>
      <w:pPr>
        <w:spacing w:before="0" w:after="0" w:line="480" w:lineRule="auto"/>
      </w:pPr>
      <w:r>
        <w:t>This integrated manuscript synthesizes prior assignments into a single, cohesive program design for postsecondary automotive technology learners. The instructional vision centers on preparing adult learners through authentic, competency-based instruction supported by an AI-enhanced Car Diagnosis Simulator and aligned with workforce expectations. The paper brings together learner analysis, barrier analysis, motivational strategies, instructional methods, delivery-format considerations, and a comprehensive assessment and alignment framework. The goal is a unified program that promotes diagnostic reasoning, professional judgment, safe practice, and continuous learning while removing barriers that impede adult learner persistence and workforce entry.</w:t>
      </w:r>
    </w:p>
    <w:p>
      <w:pPr>
        <w:pStyle w:val="Heading1"/>
        <w:spacing w:before="0" w:after="0" w:line="480" w:lineRule="auto"/>
        <w:jc w:val="center"/>
      </w:pPr>
      <w:r>
        <w:t>Learner Analysis</w:t>
      </w:r>
    </w:p>
    <w:p>
      <w:pPr>
        <w:spacing w:before="0" w:after="0" w:line="480" w:lineRule="auto"/>
      </w:pPr>
      <w:r>
        <w:t>Adult learners in postsecondary automotive technology programs are diverse in age, experience, employment status, and career goals. Many combine employment, family responsibilities, and coursework; some pursue credentials for entry-level employment while others seek advancement or stackable credentials. Common characteristics include practical orientation to learning, preference for relevance and application, and motivation tied to autonomy, competence, and relatedness. In technical domains, learners vary in prior exposure to electrical theory, tool use, and technical documentation. Programs must account for differences in communication backgrounds, digital literacy, and prior industry experience when designing instruction and assessment.</w:t>
      </w:r>
    </w:p>
    <w:p>
      <w:pPr>
        <w:spacing w:before="0" w:after="0" w:line="480" w:lineRule="auto"/>
      </w:pPr>
      <w:r>
        <w:t>Postsecondary automotive students require opportunities to develop integrated competencies—not only procedural skills but diagnostic reasoning, evidence-based decision-making, professional communication, and safe tool operation. These competencies progress developmentally from foundational knowledge (electrical fundamentals, tool use) through application (guided diagnostics) to integration and mastery (authentic, workplace-like problem solving). Instructional and assessment design should map to these developmental stages so that learners receive appropriate scaffolding and formative feedback as they move toward professional readiness.</w:t>
      </w:r>
    </w:p>
    <w:p>
      <w:pPr>
        <w:spacing w:before="0" w:after="0" w:line="480" w:lineRule="auto"/>
      </w:pPr>
      <w:r>
        <w:t>Adult learner attributes have clear implications for instructional design. Adult learners value immediacy of application and prefer problem-centered over content-centered instruction (Knowles, 1980). Many bring prior workplace experience that can be leveraged as a resource when instruction situates new learning in authentic tasks (Lave &amp; Wenger, 1991). However, prior experience is uneven: some learners have strong mechanical backgrounds but limited electrical theory, while others bring academic knowledge yet lack hands-on fluency (Maldonado et al., 2021). Programs must therefore provide differentiated pathways—diagnostic scaffolding, targeted remediation, and opportunities for accelerated demonstration of competencies—while preserving consistent mastery standards.</w:t>
      </w:r>
    </w:p>
    <w:p>
      <w:pPr>
        <w:spacing w:before="0" w:after="0" w:line="480" w:lineRule="auto"/>
      </w:pPr>
      <w:r>
        <w:t>Demographic and contextual diversity matters. Adult students commonly juggle employment and family responsibilities, which constrains time-on-task and participation in scheduled labs. Technology access and digital literacy vary, so blended course elements must include low-barrier alternatives and explicit onboarding for simulator tools. Language, cultural norms, and prior education also influence communication styles; assessment rubrics and instructional scaffolds should separate technical competency from language proficiency where appropriate and offer alternate evidence formats (e.g., video explanations, annotated screenshots) to demonstrate reasoning (Mukhalalati &amp; Taylor, 2019).</w:t>
      </w:r>
    </w:p>
    <w:p>
      <w:pPr>
        <w:spacing w:before="0" w:after="0" w:line="480" w:lineRule="auto"/>
      </w:pPr>
      <w:r>
        <w:t>These learner characteristics shape the barriers students face and should directly inform program design and support strategies.</w:t>
      </w:r>
    </w:p>
    <w:p>
      <w:pPr>
        <w:pStyle w:val="Heading1"/>
        <w:spacing w:before="0" w:after="0" w:line="480" w:lineRule="auto"/>
        <w:jc w:val="center"/>
      </w:pPr>
      <w:r>
        <w:t>Barrier Analysis</w:t>
      </w:r>
    </w:p>
    <w:p>
      <w:pPr>
        <w:spacing w:before="0" w:after="0" w:line="480" w:lineRule="auto"/>
      </w:pPr>
      <w:r>
        <w:t>Adult learners face multiple, often interacting barriers to completion. Environmental and logistical barriers include full- or part-time employment, family caregiving obligations, transportation challenges, and scheduling conflicts that make traditional daytime labs difficult to attend. Institutional and financial barriers include tuition and materials costs, tool and equipment expenses, and limited availability of flexible course scheduling. Technology barriers include uneven access to devices, unreliable internet, or limited digital literacy that can disadvantage learners in hybrid or AI-supported learning environments.</w:t>
      </w:r>
    </w:p>
    <w:p>
      <w:pPr>
        <w:spacing w:before="0" w:after="0" w:line="480" w:lineRule="auto"/>
      </w:pPr>
      <w:r>
        <w:t>Psychological and motivational barriers also affect persistence. Learners may experience reduced academic confidence after time away from formal education, negative prior educational experiences, or language-related challenges. Motivation is often intrinsic—driven by career goals and tangible employment outcomes—so instruction must be clearly relevant to workplace tasks. Programs should treat these barriers as institutional responsibilities: design flexible delivery, provide targeted supports (tutoring, advising, technology access), and implement early-alert systems using assessment analytics to identify learners in need of intervention.</w:t>
      </w:r>
    </w:p>
    <w:p>
      <w:pPr>
        <w:spacing w:before="0" w:after="0" w:line="480" w:lineRule="auto"/>
      </w:pPr>
      <w:r>
        <w:t>These barriers interact and compound. Financial pressures may force learners to increase work hours, reducing participation in synchronous lab sessions and high-fidelity practice. Transportation and childcare constraints make it difficult to attend scheduled shop sessions, which are indispensable for safe tool operation assessment. Digital inequities can limit access to the Car Diagnosis Simulator unless institutions provide hardware loan programs or on-campus access. Psychological barriers—test anxiety, low academic self-efficacy, or prior negative experiences—reduce persistence even when practical supports exist (Winne, 2022).</w:t>
      </w:r>
    </w:p>
    <w:p>
      <w:pPr>
        <w:spacing w:before="0" w:after="0" w:line="480" w:lineRule="auto"/>
      </w:pPr>
      <w:r>
        <w:t>Institutional policies and program design choices can either exacerbate or mitigate barriers. Rigid attendance policies, high-cost tool lists, and narrow scheduling reproduce access gaps; conversely, flexible sequencing, stackable credentials, evening/weekend labs, and targeted financial supports (micro-grants, tool libraries) materially improve completion rates. Early-alert systems that leverage formative assessment data—simulator analytics, missed assignments, declining formative scores—enable timely advising and remediation before high-stakes summative assessments (Black &amp; Wiliam, 1998). Embedding supports as part of the instructional design (e.g., built-in simulator practice hours, optional coaching sessions) normalizes help-seeking and reduces stigma.</w:t>
      </w:r>
    </w:p>
    <w:p>
      <w:pPr>
        <w:spacing w:before="0" w:after="0" w:line="480" w:lineRule="auto"/>
      </w:pPr>
      <w:r>
        <w:t>Understanding these barriers informs targeted motivational supports aimed at sustaining engagement and persistence.</w:t>
      </w:r>
    </w:p>
    <w:p>
      <w:pPr>
        <w:pStyle w:val="Heading1"/>
        <w:spacing w:before="0" w:after="0" w:line="480" w:lineRule="auto"/>
        <w:jc w:val="center"/>
      </w:pPr>
      <w:r>
        <w:t>Motivational Strategies</w:t>
      </w:r>
    </w:p>
    <w:p>
      <w:pPr>
        <w:spacing w:before="0" w:after="0" w:line="480" w:lineRule="auto"/>
      </w:pPr>
      <w:r>
        <w:t>Motivational strategies should draw on Self-Determination Theory (SDT) and andragogical principles to support autonomy, competence, and relatedness. Clear learning objectives, transparent mastery standards, and opportunities for choice increase autonomy. Scaffolded practice, immediate feedback from the Car Diagnosis Simulator, and progressive mastery criteria build competence. Employer partnerships, peer collaboration, and mentoring support relatedness and professional identity.</w:t>
      </w:r>
    </w:p>
    <w:p>
      <w:pPr>
        <w:spacing w:before="0" w:after="0" w:line="480" w:lineRule="auto"/>
      </w:pPr>
      <w:r>
        <w:t>Engagement strategies include problem-based learning scenarios that replicate authentic diagnostic tasks, reflective journals or diagnostic logs that encourage metacognitive development, and AI-supported, data-rich simulator feedback that makes learning visible and actionable. Reflection and structured debriefs help learners integrate experience with conceptual knowledge and articulate their diagnostic reasoning, which supports both assessment and lasting skill development.</w:t>
      </w:r>
    </w:p>
    <w:p>
      <w:pPr>
        <w:spacing w:before="0" w:after="0" w:line="480" w:lineRule="auto"/>
      </w:pPr>
      <w:r>
        <w:t>Operational strategies for motivation in this program include:</w:t>
      </w:r>
    </w:p>
    <w:p>
      <w:pPr>
        <w:pStyle w:val="ListBullet"/>
        <w:spacing w:before="0" w:after="0" w:line="480" w:lineRule="auto"/>
      </w:pPr>
      <w:r>
        <w:t>Autonomy-supportive tasks: offer choices of diagnostic scenarios and elective deep-dives so learners pursue personally relevant goals (Guay, 2022).</w:t>
      </w:r>
    </w:p>
    <w:p>
      <w:pPr>
        <w:pStyle w:val="ListBullet"/>
        <w:spacing w:before="0" w:after="0" w:line="480" w:lineRule="auto"/>
      </w:pPr>
      <w:r>
        <w:t>Competence scaffolding: use progressive mastery checklists, low-stakes simulator cycles, and targeted feedback to build technical confidence before summative performance tasks (Winne, 2022).</w:t>
      </w:r>
    </w:p>
    <w:p>
      <w:pPr>
        <w:pStyle w:val="ListBullet"/>
        <w:spacing w:before="0" w:after="0" w:line="480" w:lineRule="auto"/>
      </w:pPr>
      <w:r>
        <w:t>Relatedness and professional identity: integrate mentoring, employer-led problem briefs, and cohort-based troubleshooting sessions to cultivate belonging and industry connections.</w:t>
      </w:r>
    </w:p>
    <w:p>
      <w:pPr>
        <w:spacing w:before="0" w:after="0" w:line="480" w:lineRule="auto"/>
      </w:pPr>
      <w:r>
        <w:t>Additional tactics leverage technology and adult-learning pedagogy: transparent rubrics reduce ambiguity about expectations (Brookhart, 2013); brief reflective prompts after simulator runs encourage self-regulated learning (Winne, 2022); and UDL-informed choices for demonstrating competence (Almeqdad et al., 2023) increase fairness for learners with diverse needs. These strategies preserve the Car Diagnosis Simulator as the central practice environment while ensuring that motivational supports reduce attrition and enhance transferable workforce readiness.</w:t>
      </w:r>
    </w:p>
    <w:p>
      <w:pPr>
        <w:spacing w:before="0" w:after="0" w:line="480" w:lineRule="auto"/>
      </w:pPr>
      <w:r>
        <w:t>Motivational strategies naturally lead to instructional choices that operationalize autonomy, competence, and relatedness through specific learning activities and supports.</w:t>
      </w:r>
    </w:p>
    <w:p>
      <w:pPr>
        <w:pStyle w:val="Heading1"/>
        <w:spacing w:before="0" w:after="0" w:line="480" w:lineRule="auto"/>
        <w:jc w:val="center"/>
      </w:pPr>
      <w:r>
        <w:t>Instructional Methods</w:t>
      </w:r>
    </w:p>
    <w:p>
      <w:pPr>
        <w:spacing w:before="0" w:after="0" w:line="480" w:lineRule="auto"/>
      </w:pPr>
      <w:r>
        <w:t>Instructional methods should prioritize authentic, situated learning that mirrors workplace practice. Recommended methods include:</w:t>
      </w:r>
    </w:p>
    <w:p>
      <w:pPr>
        <w:pStyle w:val="ListBullet"/>
        <w:spacing w:before="0" w:after="0" w:line="480" w:lineRule="auto"/>
      </w:pPr>
      <w:r>
        <w:t>Problem-Based Learning (PBL): learners confront realistic electrical diagnostic cases requiring hypothesis formation, testing, and evidence-based decision-making.</w:t>
      </w:r>
    </w:p>
    <w:p>
      <w:pPr>
        <w:pStyle w:val="ListBullet"/>
        <w:spacing w:before="0" w:after="0" w:line="480" w:lineRule="auto"/>
      </w:pPr>
      <w:r>
        <w:t>Cognitive Apprenticeship: instructors model expert reasoning, scaffold learner practice, and gradually withdraw support as learners develop autonomy.</w:t>
      </w:r>
    </w:p>
    <w:p>
      <w:pPr>
        <w:pStyle w:val="ListBullet"/>
        <w:spacing w:before="0" w:after="0" w:line="480" w:lineRule="auto"/>
      </w:pPr>
      <w:r>
        <w:t>Guided Practice with scaffolded feedback: combine instructor coaching with simulator practice to develop technical fluency and safe procedures.</w:t>
      </w:r>
    </w:p>
    <w:p>
      <w:pPr>
        <w:pStyle w:val="ListBullet"/>
        <w:spacing w:before="0" w:after="0" w:line="480" w:lineRule="auto"/>
      </w:pPr>
      <w:r>
        <w:t>Reflection and metacognitive activities: diagnostic journals, think-aloud protocols, and debriefs to surface reasoning processes.</w:t>
      </w:r>
    </w:p>
    <w:p>
      <w:pPr>
        <w:pStyle w:val="ListBullet"/>
        <w:spacing w:before="0" w:after="0" w:line="480" w:lineRule="auto"/>
      </w:pPr>
      <w:r>
        <w:t>Universal Design for Learning (UDL): offer multiple means of engagement, representation, and expression to accommodate diverse learner needs.</w:t>
      </w:r>
    </w:p>
    <w:p>
      <w:pPr>
        <w:spacing w:before="0" w:after="0" w:line="480" w:lineRule="auto"/>
      </w:pPr>
      <w:r>
        <w:t>These methods should be sequenced to support developmental progression from foundation through integration to mastery, with regular formative assessment guiding instruction.</w:t>
      </w:r>
    </w:p>
    <w:p>
      <w:pPr>
        <w:spacing w:before="0" w:after="0" w:line="480" w:lineRule="auto"/>
      </w:pPr>
      <w:r>
        <w:t>Instructional method choices determine which delivery formats best support authentic practice, accessibility, and assessment fidelity.</w:t>
      </w:r>
    </w:p>
    <w:p>
      <w:pPr>
        <w:pStyle w:val="Heading1"/>
        <w:spacing w:before="0" w:after="0" w:line="480" w:lineRule="auto"/>
        <w:jc w:val="center"/>
      </w:pPr>
      <w:r>
        <w:t>Delivery Format Selection</w:t>
      </w:r>
    </w:p>
    <w:p>
      <w:pPr>
        <w:spacing w:before="0" w:after="0" w:line="480" w:lineRule="auto"/>
      </w:pPr>
      <w:r>
        <w:t>A blended ecosystem—combining face-to-face labs, hybrid modules, synchronous sessions, and asynchronous practice—best serves adult automotive learners. Face-to-face labs provide hands-on practice with tools and instructor observation of safe procedures. Hybrid models allow learners who work or have caregiving duties to complete theory and low-fidelity practice asynchronously while attending scheduled labs for high-fidelity, supervised performance. Synchronous sessions (in-person or virtual) support scaffolding, peer collaboration, and oral defenses, while asynchronous simulator practice supports flexible, repeated exposure to diagnostic scenarios. Course design should ensure that authentic assessment opportunities are available in formats that preserve validity (e.g., high-fidelity labs or simulator scenarios) while offering flexibility for access.</w:t>
      </w:r>
    </w:p>
    <w:p>
      <w:pPr>
        <w:spacing w:before="0" w:after="0" w:line="480" w:lineRule="auto"/>
      </w:pPr>
      <w:r>
        <w:t>This blended approach intentionally supports diverse adult learner circumstances. For military-connected students and those with unpredictable schedules, asynchronous simulator practice combined with scheduled evening cohorts creates predictable pathways to credential completion without forcing attendance during standard work hours. Evening cohorts and targeted weekend lab blocks provide concentrated, supervised practice for learners who cannot attend daytime shops. Instructor office hours—offered in multiple modalities (in-person, synchronous video, and asynchronous Q&amp;A forums)—ensure timely coaching and reduce barriers for learners balancing work and family.</w:t>
      </w:r>
    </w:p>
    <w:p>
      <w:pPr>
        <w:spacing w:before="0" w:after="0" w:line="480" w:lineRule="auto"/>
      </w:pPr>
      <w:r>
        <w:t>Accessibility and equity are central: asynchronous simulator practice reduces transport and childcare burdens; captioned and transcripted debriefs support learners with hearing or language needs; and blended modalities allow accommodations without compromising the validity of hands-on assessment. The blended design intentionally preserves authentic, high-fidelity assessments for competencies that require shop-based observation, while using the simulator and asynchronous work for scalable practice and formative feedback. Overall, the delivery rationale balances flexibility, accessibility, and assessment fidelity to serve adult learners equitably while meeting workforce-aligned competency standards.</w:t>
      </w:r>
    </w:p>
    <w:p>
      <w:pPr>
        <w:pStyle w:val="Heading1"/>
        <w:spacing w:before="0" w:after="0" w:line="480" w:lineRule="auto"/>
        <w:jc w:val="center"/>
      </w:pPr>
      <w:r>
        <w:t>Assessment Design and Program Alignment</w:t>
      </w:r>
    </w:p>
    <w:p>
      <w:pPr>
        <w:spacing w:before="0" w:after="0" w:line="480" w:lineRule="auto"/>
      </w:pPr>
      <w:r>
        <w:t>Competency definitions should guide assessment design. Core competencies include diagnostic reasoning, electrical system analysis, technical documentation, safe tool operation, evidence-based repair decision-making, professional communication, and continuous learning. Assessment methods must collect convergent evidence from multiple sources: simulator analytics, instructor observations during hands-on tasks, written diagnostic reports, oral explanations or defenses, peer collaboration artifacts, and workplace evaluations when possible.</w:t>
      </w:r>
    </w:p>
    <w:p>
      <w:pPr>
        <w:spacing w:before="0" w:after="0" w:line="480" w:lineRule="auto"/>
      </w:pPr>
      <w:r>
        <w:t>Formative assessment practices (instructor coaching, simulator feedback, diagnostic logs) drive learning and remediation. Summative assessments should be authentic: integrated performance tasks in simulators or laboratories that require learners to demonstrate diagnostic reasoning, documentation quality, safety, and communication under realistic conditions. Analytic rubrics aligned to competency dimensions increase reliability and transparency. Mastery determination relies on convergent evidence across modalities and opportunities for targeted remediation and reassessment when mastery is not yet achieved.</w:t>
      </w:r>
    </w:p>
    <w:p>
      <w:pPr>
        <w:spacing w:before="0" w:after="0" w:line="480" w:lineRule="auto"/>
      </w:pPr>
      <w:r>
        <w:t>Alignment with industry standards (ASE, manufacturer certifications) and employer expectations strengthens credential value. Credentials should be stackable and developmental, supporting immediate entry-level employment while enabling progression toward advanced certifications. Program evaluation should use assessment and employment outcome data to maintain continuous alignment with workforce needs.</w:t>
      </w:r>
    </w:p>
    <w:p>
      <w:pPr>
        <w:spacing w:before="0" w:after="0" w:line="480" w:lineRule="auto"/>
      </w:pPr>
      <w:r>
        <w:t>### Assessment as Evidence of Competency</w:t>
      </w:r>
    </w:p>
    <w:p>
      <w:pPr>
        <w:spacing w:before="0" w:after="0" w:line="480" w:lineRule="auto"/>
      </w:pPr>
      <w:r>
        <w:t>Assessment and grading are distinct: assessment systematically collects evidence of performance and competency, whereas grading aggregates performance into scores (Black &amp; Wiliam, 1998; Wiggins, 1998). Competency-based assessment asks not simply whether a learner passed tests, but whether the learner can perform integrated workplace-relevant tasks authentically and independently, explain the reasoning behind decisions, and transfer performance to novel situations. For automotive diagnostics, this requires multimodal evidence: simulator decision sequences, hands-on observations, written diagnostic reports, oral explanations, peer collaboration artifacts, and workplace evaluations. Together these data sources create a multidimensional picture of readiness that single-point measures cannot provide.</w:t>
      </w:r>
    </w:p>
    <w:p>
      <w:pPr>
        <w:spacing w:before="0" w:after="0" w:line="480" w:lineRule="auto"/>
      </w:pPr>
      <w:r>
        <w:t>### Formative Assessment: Continuous Evidence Collection and Feedback</w:t>
      </w:r>
    </w:p>
    <w:p>
      <w:pPr>
        <w:spacing w:before="0" w:after="0" w:line="480" w:lineRule="auto"/>
      </w:pPr>
      <w:r>
        <w:t>Formative assessment occurs during learning and guides instruction and remediation. Effective formative methods for this program include instructor observation of troubleshooting, simulator analytics tracking decision sequences and accuracy, diagnostic journals, peer feedback during collaborative diagnostics, instructor coaching with guided questioning, and think-aloud protocols. These practices produce timely, actionable feedback that learners can apply immediately. Simulator analytics are particularly powerful: they capture objective traces of reasoning (tests run, order of operations, time on tasks) that complement instructor judgment and inform targeted coaching.</w:t>
      </w:r>
    </w:p>
    <w:p>
      <w:pPr>
        <w:spacing w:before="0" w:after="0" w:line="480" w:lineRule="auto"/>
      </w:pPr>
      <w:r>
        <w:t>### Summative Assessment: Determining Competency Achievement</w:t>
      </w:r>
    </w:p>
    <w:p>
      <w:pPr>
        <w:spacing w:before="0" w:after="0" w:line="480" w:lineRule="auto"/>
      </w:pPr>
      <w:r>
        <w:t>Summative assessment determines whether competency has been achieved at course or program checkpoints. High-validity summative tasks for electrical diagnostics include comprehensive diagnostic scenarios, authentic repair simulations, practical performance examinations, professional written documentation, and oral defenses of diagnostic decisions. Summative tasks should integrate multiple competencies—diagnostic reasoning, safe technique, documentation, and communication—so that assessment mirrors workplace complexity rather than isolated knowledge recall.</w:t>
      </w:r>
    </w:p>
    <w:p>
      <w:pPr>
        <w:spacing w:before="0" w:after="0" w:line="480" w:lineRule="auto"/>
      </w:pPr>
      <w:r>
        <w:t>### Authentic Performance Assessment</w:t>
      </w:r>
    </w:p>
    <w:p>
      <w:pPr>
        <w:spacing w:before="0" w:after="0" w:line="480" w:lineRule="auto"/>
      </w:pPr>
      <w:r>
        <w:t>Authentic performance assessment is central to valid competency judgments. The Car Diagnosis Simulator provides a controlled but authentic environment for performance tasks: realistic, ambiguous faults; time pressure approximating shop conditions; and machine-readable logs for objective scoring. Authentic assessment also includes workplace-embedded evaluations—internships or co-op placements—where supervisors validate transfer of skills to real service contexts. Together, simulator-based and workplace-based evidence maximizes assessment validity.</w:t>
      </w:r>
    </w:p>
    <w:p>
      <w:pPr>
        <w:spacing w:before="0" w:after="0" w:line="480" w:lineRule="auto"/>
      </w:pPr>
      <w:r>
        <w:t>### Competency Rubrics, Reliability, and Validity</w:t>
      </w:r>
    </w:p>
    <w:p>
      <w:pPr>
        <w:spacing w:before="0" w:after="0" w:line="480" w:lineRule="auto"/>
      </w:pPr>
      <w:r>
        <w:t>Rubrics translate competency definitions into observable criteria (Brookhart, 2013). Analytic rubrics for diagnostic tasks should evaluate dimensions such as diagnostic reasoning, evidence collection, technical accuracy, safety, documentation quality, communication, and reflective practice. Reliability is improved through clear descriptors, assessor calibration, standardized prompts, and multiple ratings (e.g., dual raters or panel review). Validity is supported by aligning tasks with real workplace demands and triangulating evidence across methods. Fairness requires that rubrics and assessment conditions minimize bias, provide multiple demonstration modes (UDL), and separate language proficiency from technical competency where appropriate (Almeqdad et al., 2023).</w:t>
      </w:r>
    </w:p>
    <w:p>
      <w:pPr>
        <w:spacing w:before="0" w:after="0" w:line="480" w:lineRule="auto"/>
      </w:pPr>
      <w:r>
        <w:t>### Mastery Determination and Remediation</w:t>
      </w:r>
    </w:p>
    <w:p>
      <w:pPr>
        <w:spacing w:before="0" w:after="0" w:line="480" w:lineRule="auto"/>
      </w:pPr>
      <w:r>
        <w:t>Determining mastery requires convergent evidence: consistent performance across simulators, practical exams, written work, and workplace evaluations. When evidence diverges, targeted remediation follows: diagnostic-focused simulator practice, instructor coaching, focused laboratory sessions, and reassessment opportunities. Transparent mastery standards—published rubrics, clear remediation pathways, and scheduled reassessment—support adult learners' agency and reduce stigma associated with additional practice.</w:t>
      </w:r>
    </w:p>
    <w:p>
      <w:pPr>
        <w:spacing w:before="0" w:after="0" w:line="480" w:lineRule="auto"/>
      </w:pPr>
      <w:r>
        <w:t>### Assessment Data Integration and Program Improvement</w:t>
      </w:r>
    </w:p>
    <w:p>
      <w:pPr>
        <w:spacing w:before="0" w:after="0" w:line="480" w:lineRule="auto"/>
      </w:pPr>
      <w:r>
        <w:t>Assessment systems must integrate data to support learner decisions and program accountability. Aggregated analytics identify cohort weaknesses (e.g., consistent misconceptions about grounding or measurement interpretation) that trigger curriculum adjustments. Employer feedback and graduate employment outcomes provide external validity checks, closing the loop between instruction, assessment, and workforce alignment. Continuous program improvement relies on these feedback cycles to keep competencies, instruction, and credentials aligned with evolving industry needs.</w:t>
      </w:r>
    </w:p>
    <w:p>
      <w:pPr>
        <w:pStyle w:val="Heading2"/>
        <w:spacing w:before="0" w:after="0" w:line="480" w:lineRule="auto"/>
      </w:pPr>
      <w:r>
        <w:t>Instructional Methods — Expanded Rationale</w:t>
      </w:r>
    </w:p>
    <w:p>
      <w:pPr>
        <w:spacing w:before="0" w:after="0" w:line="480" w:lineRule="auto"/>
      </w:pPr>
      <w:r>
        <w:t>*</w:t>
      </w:r>
      <w:r>
        <w:rPr>
          <w:i/>
        </w:rPr>
        <w:t>Problem-Based Learning (PBL):</w:t>
      </w:r>
      <w:r>
        <w:t>* PBL situates learners in complex, authentic diagnostic problems where they must form hypotheses, plan tests, and revise conclusions. This method is appropriate for adult learners because it emphasizes relevance and immediate applicability; adults engage more deeply when tasks mirror workplace demands. The Car Diagnosis Simulator supports PBL by providing multiple realistic case scenarios, immediate feedback on decision choices, and opportunities for repeated practice that reinforce transfer to real vehicles.</w:t>
      </w:r>
    </w:p>
    <w:p>
      <w:pPr>
        <w:spacing w:before="0" w:after="0" w:line="480" w:lineRule="auto"/>
      </w:pPr>
      <w:r>
        <w:t>*</w:t>
      </w:r>
      <w:r>
        <w:rPr>
          <w:i/>
        </w:rPr>
        <w:t>Cognitive Apprenticeship:</w:t>
      </w:r>
      <w:r>
        <w:t>* Modeling expert reasoning and thinking aloud makes tacit diagnostic strategies explicit for learners. For adult students—many of whom bring workplace experience—cognitive apprenticeship connects prior knowledge with expert heuristics, accelerating the move from novice strategies to adaptive problem solving. Instructors use the simulator to demonstrate expert approaches, pause decision sequences to explain reasoning, and then scaffold learner practice with faded support.</w:t>
      </w:r>
    </w:p>
    <w:p>
      <w:pPr>
        <w:spacing w:before="0" w:after="0" w:line="480" w:lineRule="auto"/>
      </w:pPr>
      <w:r>
        <w:t>*</w:t>
      </w:r>
      <w:r>
        <w:rPr>
          <w:i/>
        </w:rPr>
        <w:t>Guided Practice with Scaffolded Feedback:</w:t>
      </w:r>
      <w:r>
        <w:t>* Repeated, structured practice with targeted feedback builds procedural fluency and diagnostic efficiency. Adult learners benefit from scaffolded cycles that reduce cognitive load while focusing on critical reasoning skills. The simulator enables rapid cycles of practice, immediate analytic feedback, and data-driven coaching that instructors use to target specific misconceptions or inefficient testing behaviors.</w:t>
      </w:r>
    </w:p>
    <w:p>
      <w:pPr>
        <w:spacing w:before="0" w:after="0" w:line="480" w:lineRule="auto"/>
      </w:pPr>
      <w:r>
        <w:t>*</w:t>
      </w:r>
      <w:r>
        <w:rPr>
          <w:i/>
        </w:rPr>
        <w:t>Reflection and Metacognitive Activities:</w:t>
      </w:r>
      <w:r>
        <w:t>* Reflection activities—diagnostic journals, think-aloud debriefs, and structured self-assessments—help learners make their reasoning visible and develop self-regulation. Adults who reflect on practice can better transfer skills across contexts and recognize their learning progress, increasing motivation. Simulator logs and playback features create artifacts for reflection, allowing learners and instructors to review decision sequences and identify improvement strategies.</w:t>
      </w:r>
    </w:p>
    <w:p>
      <w:pPr>
        <w:spacing w:before="0" w:after="0" w:line="480" w:lineRule="auto"/>
      </w:pPr>
      <w:r>
        <w:t>*</w:t>
      </w:r>
      <w:r>
        <w:rPr>
          <w:i/>
        </w:rPr>
        <w:t>Universal Design for Learning (UDL):</w:t>
      </w:r>
      <w:r>
        <w:t>* UDL provides multiple means of engagement, representation, and expression to accommodate diverse learners. By offering alternative ways to demonstrate competency (e.g., video explanations, annotated screenshots, spoken defenses), UDL reduces barriers without lowering standards. The simulator supports UDL by permitting diverse output formats and adjustable scenario parameters (complexity, time pressure), enabling equitable access to authentic practice.</w:t>
      </w:r>
    </w:p>
    <w:p>
      <w:pPr>
        <w:pStyle w:val="Heading1"/>
        <w:spacing w:before="0" w:after="0" w:line="480" w:lineRule="auto"/>
        <w:jc w:val="center"/>
      </w:pPr>
      <w:r>
        <w:t>Conclusion</w:t>
      </w:r>
    </w:p>
    <w:p>
      <w:pPr>
        <w:spacing w:before="0" w:after="0" w:line="480" w:lineRule="auto"/>
      </w:pPr>
      <w:r>
        <w:t>This integrated design synthesizes prior assignments into a coherent program focused on authentic competency development for adult learners in automotive technology. By centering instruction on workplace-relevant competencies, using AI-supported simulation for scalable authentic practice, aligning assessments with industry standards, and providing comprehensive supports to remove barriers, the program prepares learners for both immediate employment and lifelong professional growth. The integrated Introduction, transitions, and conclusion tie the sections together around a single instructional vision: develop diagnostic thinkers who combine technical skill with professional judgment, adaptability, and a commitment to continuous learning.</w:t>
      </w:r>
    </w:p>
    <w:p>
      <w:pPr>
        <w:spacing w:before="0" w:after="0" w:line="480" w:lineRule="auto"/>
      </w:pPr>
      <w:r>
        <w:t>As automotive technology continues to evolve through electrification, connected vehicle systems, artificial intelligence, and advanced diagnostic technologies, workforce preparation must also evolve. Programs that intentionally integrate adult learning principles, authentic assessment, competency-based instruction, and AI-supported learning environments will better prepare technicians who can adapt to continual technological change while maintaining professional standards of safety, ethical practice, and lifelong learning.</w:t>
      </w:r>
    </w:p>
    <w:p>
      <w:pPr>
        <w:pStyle w:val="Heading1"/>
        <w:spacing w:before="0" w:after="0" w:line="480" w:lineRule="auto"/>
        <w:jc w:val="center"/>
      </w:pPr>
      <w:r>
        <w:t>References</w:t>
      </w:r>
    </w:p>
    <w:p>
      <w:pPr>
        <w:spacing w:before="0" w:after="0" w:line="480" w:lineRule="auto"/>
        <w:ind w:left="720" w:hanging="720"/>
      </w:pPr>
      <w:r>
        <w:t xml:space="preserve">Almeqdad, Q., Alodat, A., Alquraan, M., Mohaidat, M., &amp; Al-Makhzoomy, A. (2023). The effectiveness of Universal Design for Learning: A systematic review and meta-analysis. </w:t>
      </w:r>
      <w:r>
        <w:rPr>
          <w:i/>
        </w:rPr>
        <w:t>Cogent Education</w:t>
      </w:r>
      <w:r>
        <w:t>, 10(1), Article 2218191. https://doi.org/10.1080/2331186X.2023.2218191</w:t>
      </w:r>
    </w:p>
    <w:p>
      <w:pPr>
        <w:spacing w:before="0" w:after="0" w:line="480" w:lineRule="auto"/>
        <w:ind w:left="720" w:hanging="720"/>
      </w:pPr>
      <w:r>
        <w:t xml:space="preserve">Black, P., &amp; Wiliam, D. (1998). Assessment and classroom learning. </w:t>
      </w:r>
      <w:r>
        <w:rPr>
          <w:i/>
        </w:rPr>
        <w:t>Assessment in Education: Principles, Policy &amp; Practice</w:t>
      </w:r>
      <w:r>
        <w:t>, 5(1), 7–74. https://doi.org/10.1080/0969595980050102</w:t>
      </w:r>
    </w:p>
    <w:p>
      <w:pPr>
        <w:spacing w:before="0" w:after="0" w:line="480" w:lineRule="auto"/>
        <w:ind w:left="720" w:hanging="720"/>
      </w:pPr>
      <w:r>
        <w:t xml:space="preserve">Brookhart, S. M. (2013). </w:t>
      </w:r>
      <w:r>
        <w:rPr>
          <w:i/>
        </w:rPr>
        <w:t>How to create and use rubrics for formative assessment and grading</w:t>
      </w:r>
      <w:r>
        <w:t>. Association for Supervision and Curriculum Development (ASCD).</w:t>
      </w:r>
    </w:p>
    <w:p>
      <w:pPr>
        <w:spacing w:before="0" w:after="0" w:line="480" w:lineRule="auto"/>
        <w:ind w:left="720" w:hanging="720"/>
      </w:pPr>
      <w:r>
        <w:t xml:space="preserve">Guay, F. (2022). Applying self-determination theory to education: Regulation types, psychological needs, and autonomy-supportive behaviors. </w:t>
      </w:r>
      <w:r>
        <w:rPr>
          <w:i/>
        </w:rPr>
        <w:t>Canadian Journal of School Psychology</w:t>
      </w:r>
      <w:r>
        <w:t>, 37(1), 75–92. https://doi.org/10.1177/08295735211055355</w:t>
      </w:r>
    </w:p>
    <w:p>
      <w:pPr>
        <w:spacing w:before="0" w:after="0" w:line="480" w:lineRule="auto"/>
        <w:ind w:left="720" w:hanging="720"/>
      </w:pPr>
      <w:r>
        <w:t xml:space="preserve">Knowles, M. S. (1980). </w:t>
      </w:r>
      <w:r>
        <w:rPr>
          <w:i/>
        </w:rPr>
        <w:t>The modern practice of adult education: From pedagogy to andragogy</w:t>
      </w:r>
      <w:r>
        <w:t>. Cambridge Books.</w:t>
      </w:r>
    </w:p>
    <w:p>
      <w:pPr>
        <w:spacing w:before="0" w:after="0" w:line="480" w:lineRule="auto"/>
        <w:ind w:left="720" w:hanging="720"/>
      </w:pPr>
      <w:r>
        <w:t xml:space="preserve">Lave, J., &amp; Wenger, E. (1991). </w:t>
      </w:r>
      <w:r>
        <w:rPr>
          <w:i/>
        </w:rPr>
        <w:t>Situated learning: Legitimate peripheral participation</w:t>
      </w:r>
      <w:r>
        <w:t>. Cambridge University Press.</w:t>
      </w:r>
    </w:p>
    <w:p>
      <w:pPr>
        <w:spacing w:before="0" w:after="0" w:line="480" w:lineRule="auto"/>
        <w:ind w:left="720" w:hanging="720"/>
      </w:pPr>
      <w:r>
        <w:t xml:space="preserve">Maldonado, L. G., Kim, K., &amp; Threeton, M. D. (2021). An application of Holland's theory to career interests and selected careers of automotive technology students. </w:t>
      </w:r>
      <w:r>
        <w:rPr>
          <w:i/>
        </w:rPr>
        <w:t>Journal of Career and Technical Education</w:t>
      </w:r>
      <w:r>
        <w:t>, 35(1), 36–54. https://doi.org/10.21061/jcte.v35i1.a3</w:t>
      </w:r>
    </w:p>
    <w:p>
      <w:pPr>
        <w:spacing w:before="0" w:after="0" w:line="480" w:lineRule="auto"/>
        <w:ind w:left="720" w:hanging="720"/>
      </w:pPr>
      <w:r>
        <w:t xml:space="preserve">Mukhalalati, B. A., &amp; Taylor, A. (2019). Adult learning theories in context: A quick guide for healthcare professional educators. </w:t>
      </w:r>
      <w:r>
        <w:rPr>
          <w:i/>
        </w:rPr>
        <w:t>Journal of Medical Education and Curricular Development</w:t>
      </w:r>
      <w:r>
        <w:t>, 6. https://doi.org/10.1177/2382120519840332</w:t>
      </w:r>
    </w:p>
    <w:p>
      <w:pPr>
        <w:spacing w:before="0" w:after="0" w:line="480" w:lineRule="auto"/>
        <w:ind w:left="720" w:hanging="720"/>
      </w:pPr>
      <w:r>
        <w:t>National Institute for Automotive Service Excellence. (2023). ASE L1 electrical systems task list and study guide. Author.</w:t>
      </w:r>
    </w:p>
    <w:p>
      <w:pPr>
        <w:spacing w:before="0" w:after="0" w:line="480" w:lineRule="auto"/>
        <w:ind w:left="720" w:hanging="720"/>
      </w:pPr>
      <w:r>
        <w:t xml:space="preserve">Winne, P. H. (2022). Modeling self-regulated learning as learners doing learning science: How trace data and learning analytics help develop skills for self-regulated learning. </w:t>
      </w:r>
      <w:r>
        <w:rPr>
          <w:i/>
        </w:rPr>
        <w:t>Metacognition and Learning</w:t>
      </w:r>
      <w:r>
        <w:t>, 17, 773–791. https://doi.org/10.1007/s11409-022-09305-y</w:t>
      </w:r>
    </w:p>
    <w:p>
      <w:pPr>
        <w:spacing w:before="0" w:after="0" w:line="480" w:lineRule="auto"/>
        <w:ind w:left="720" w:hanging="720"/>
      </w:pPr>
      <w:r>
        <w:t xml:space="preserve">Wiggins, G. (1998). </w:t>
      </w:r>
      <w:r>
        <w:rPr>
          <w:i/>
        </w:rPr>
        <w:t>Educative assessment: Designing assessments to inform and improve student performance</w:t>
      </w:r>
      <w:r>
        <w:t>. Jossey-Bass.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