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Workforce Alignment and Competency-Based Assessment Design for AI-Supported Automotive Electrical Diagnostics</w:t>
      </w:r>
    </w:p>
    <w:p>
      <w:pPr>
        <w:spacing w:line="480" w:lineRule="auto"/>
        <w:ind w:firstLine="720"/>
      </w:pPr>
      <w:r>
        <w:rPr>
          <w:rFonts w:ascii="Times New Roman" w:hAnsi="Times New Roman"/>
          <w:sz w:val="24"/>
        </w:rPr>
        <w:t>Rafael Rodriguez</w:t>
      </w:r>
    </w:p>
    <w:p>
      <w:pPr>
        <w:spacing w:line="480" w:lineRule="auto"/>
        <w:ind w:firstLine="720"/>
      </w:pPr>
      <w:r>
        <w:rPr>
          <w:rFonts w:ascii="Times New Roman" w:hAnsi="Times New Roman"/>
          <w:sz w:val="24"/>
        </w:rPr>
        <w:t>Department of Technology and Workforce Development, Pittsburg State University</w:t>
      </w:r>
    </w:p>
    <w:p>
      <w:pPr>
        <w:spacing w:line="480" w:lineRule="auto"/>
        <w:ind w:firstLine="720"/>
      </w:pPr>
      <w:r>
        <w:rPr>
          <w:rFonts w:ascii="Times New Roman" w:hAnsi="Times New Roman"/>
          <w:sz w:val="24"/>
        </w:rPr>
        <w:t>TTED 731 Adult Learners</w:t>
      </w:r>
    </w:p>
    <w:p>
      <w:pPr>
        <w:spacing w:line="480" w:lineRule="auto"/>
        <w:ind w:firstLine="720"/>
      </w:pPr>
      <w:r>
        <w:rPr>
          <w:rFonts w:ascii="Times New Roman" w:hAnsi="Times New Roman"/>
          <w:sz w:val="24"/>
        </w:rPr>
        <w:t>Dr. Greg Belcher</w:t>
      </w:r>
    </w:p>
    <w:p>
      <w:pPr>
        <w:spacing w:line="480" w:lineRule="auto"/>
        <w:ind w:firstLine="720"/>
      </w:pPr>
      <w:r>
        <w:rPr>
          <w:rFonts w:ascii="Times New Roman" w:hAnsi="Times New Roman"/>
          <w:sz w:val="24"/>
        </w:rPr>
        <w:t>July 19, 2026</w:t>
      </w:r>
    </w:p>
    <w:p>
      <w:pPr>
        <w:spacing w:line="480" w:lineRule="auto"/>
        <w:ind w:firstLine="720"/>
      </w:pPr>
      <w:r>
        <w:rPr>
          <w:rFonts w:ascii="Times New Roman" w:hAnsi="Times New Roman"/>
          <w:b/>
          <w:sz w:val="24"/>
        </w:rPr>
        <w:t>Introduction</w:t>
      </w:r>
    </w:p>
    <w:p>
      <w:pPr>
        <w:spacing w:line="480" w:lineRule="auto"/>
        <w:ind w:firstLine="720"/>
      </w:pPr>
      <w:r>
        <w:rPr>
          <w:rFonts w:ascii="Times New Roman" w:hAnsi="Times New Roman"/>
          <w:sz w:val="24"/>
        </w:rPr>
        <w:t>Effective Career and Technical Education (CTE) programs bridge classroom learning and workforce readiness through deliberate alignment of instruction, assessment, and industry expectations. As established in Assignment 3, pedagogically sound instructional design creates opportunities for adult learners to develop competencies in complex technical domains. However, instructional excellence means little without equally rigorous assessment systems that validate competency development and predict workplace performance. For postsecondary automotive technology programs, this challenge is particularly acute: modern vehicles—especially those incorporating advanced diagnostics and artificial intelligence (AI)—require technicians to engage in sophisticated diagnostic reasoning, not merely recall procedures or follow checklists (Maldonado et al., 2021).</w:t>
      </w:r>
    </w:p>
    <w:p>
      <w:pPr>
        <w:spacing w:line="480" w:lineRule="auto"/>
        <w:ind w:firstLine="720"/>
      </w:pPr>
      <w:r>
        <w:rPr>
          <w:rFonts w:ascii="Times New Roman" w:hAnsi="Times New Roman"/>
          <w:sz w:val="24"/>
        </w:rPr>
        <w:t xml:space="preserve">The question that frames this manuscript is deceptively simple but operationally complex: </w:t>
      </w:r>
      <w:r>
        <w:rPr>
          <w:rFonts w:ascii="Times New Roman" w:hAnsi="Times New Roman"/>
          <w:i/>
          <w:sz w:val="24"/>
        </w:rPr>
        <w:t>How do we know learners are competent enough to perform successfully in the automotive workforce?</w:t>
      </w:r>
      <w:r>
        <w:rPr>
          <w:rFonts w:ascii="Times New Roman" w:hAnsi="Times New Roman"/>
          <w:sz w:val="24"/>
        </w:rPr>
        <w:t xml:space="preserve"> This question demands more than implementing assessments; it requires intentional alignment among program competencies, industry standards, authentic assessment methods, and evidence of workplace readiness. Competency-based assessment in CTE differs fundamentally from traditional content-knowledge testing. Rather than measuring isolated facts or procedural steps, competency-based systems evaluate integrated reasoning, adaptive decision-making, and the ability to apply knowledge in authentic contexts—hallmarks of expert performance in technical fields (Mukhalalati &amp; Taylor, 2019).</w:t>
      </w:r>
    </w:p>
    <w:p>
      <w:pPr>
        <w:spacing w:line="480" w:lineRule="auto"/>
        <w:ind w:firstLine="720"/>
      </w:pPr>
      <w:r>
        <w:rPr>
          <w:rFonts w:ascii="Times New Roman" w:hAnsi="Times New Roman"/>
          <w:sz w:val="24"/>
        </w:rPr>
        <w:t>Adult learners in postsecondary automotive technology programs bring varied backgrounds, motivations, and career intentions. Some seek entry-level employment; others pursue advancement or credential stackability. Some balance full-time employment with part-time study. As established in Assignment 2, effective program design acknowledges these diverse needs and removes barriers to completion. Adult learners are motivated by autonomy, competence, and relatedness to meaningful goals rather than external rewards; postsecondary programs that recognize these intrinsic motivations create conditions supporting persistence and deep learning (Guay, 2022). Similarly, assessment design must be transparent, developmentally sequenced, and deeply connected to genuine workforce expectations—not disconnected from the actual diagnostic and repair tasks that technicians perform in the field. This requires assessment methods that move beyond traditional written exams to include performance assessments, workplace simulations, collaborative problem-solving, and evidence-based documentation (Winne, 2022).</w:t>
      </w:r>
    </w:p>
    <w:p>
      <w:pPr>
        <w:spacing w:line="480" w:lineRule="auto"/>
        <w:ind w:firstLine="720"/>
      </w:pPr>
      <w:r>
        <w:rPr>
          <w:rFonts w:ascii="Times New Roman" w:hAnsi="Times New Roman"/>
          <w:sz w:val="24"/>
        </w:rPr>
        <w:t>AI-supported learning environments such as the Car Diagnosis Simulator—the instructional context for this program—create unprecedented opportunities to align formative and summative assessment with authentic workplace performance. Simulators can generate rich, machine-readable data about learner problem-solving processes, decision sequences, diagnostic accuracy, and reasoning quality. When paired with thoughtful rubrics and instructor interpretation, this data provides far more nuanced evidence of competency development than traditional assessments. Furthermore, simulators allow learners to engage with complex, high-stakes scenarios in a low-stakes learning environment, building diagnostic confidence and resilience before workplace application (St. Clair, 2024).</w:t>
      </w:r>
    </w:p>
    <w:p>
      <w:pPr>
        <w:spacing w:line="480" w:lineRule="auto"/>
        <w:ind w:firstLine="720"/>
      </w:pPr>
      <w:r>
        <w:rPr>
          <w:rFonts w:ascii="Times New Roman" w:hAnsi="Times New Roman"/>
          <w:sz w:val="24"/>
        </w:rPr>
        <w:t>This manuscript develops a comprehensive framework for workforce alignment and competency-based assessment in a postsecondary automotive technology program focused on AI-supported electrical diagnostics. The paper establishes program and workforce competencies aligned with industry standards; connects institutional goals to employer expectations and professional certification pathways; outlines formative, summative, and performance assessment methods; proposes competency rubrics and mastery criteria; and addresses retention and completion supports that enable all learners to achieve and demonstrate workforce readiness. Throughout, the emphasis is on authenticity: assessments and credentials should meaningfully predict and validate the technical reasoning, safety practices, and professional standards that employers demand.</w:t>
      </w:r>
    </w:p>
    <w:p>
      <w:pPr>
        <w:spacing w:line="480" w:lineRule="auto"/>
        <w:ind w:firstLine="720"/>
      </w:pPr>
      <w:r>
        <w:rPr>
          <w:rFonts w:ascii="Times New Roman" w:hAnsi="Times New Roman"/>
          <w:b/>
          <w:sz w:val="24"/>
        </w:rPr>
        <w:t>Program and Workforce Competencies</w:t>
      </w:r>
    </w:p>
    <w:p>
      <w:pPr>
        <w:spacing w:line="480" w:lineRule="auto"/>
        <w:ind w:firstLine="720"/>
      </w:pPr>
      <w:r>
        <w:rPr>
          <w:rFonts w:ascii="Times New Roman" w:hAnsi="Times New Roman"/>
          <w:sz w:val="24"/>
        </w:rPr>
        <w:t>Competencies represent integrated capabilities that enable professionals to perform complex tasks successfully in authentic workplace contexts. Unlike discrete technical skills—which focus on isolated procedures—competencies encompass knowledge, reasoning, judgment, and communication applied simultaneously under real-world constraints. In automotive technology, workplace competencies are particularly critical because diagnostic and repair decisions directly affect vehicle safety, customer satisfaction, and technician liability. A competent automotive technician does not simply know how to use a multimeter or scan a diagnostic code; rather, the technician applies electrical theory, interprets diagnostic data, prioritizes evidence, communicates findings to customers and supervisors, and makes sound decisions about repair strategies. This integrated professional performance is what workforce employers expect and what educational programs must develop and assess.</w:t>
      </w:r>
    </w:p>
    <w:p>
      <w:pPr>
        <w:spacing w:line="480" w:lineRule="auto"/>
        <w:ind w:firstLine="720"/>
      </w:pPr>
      <w:r>
        <w:rPr>
          <w:rFonts w:ascii="Times New Roman" w:hAnsi="Times New Roman"/>
          <w:b/>
          <w:sz w:val="24"/>
        </w:rPr>
        <w:t>Core Competencies in AI-Supported Automotive Electrical Diagnostics</w:t>
      </w:r>
    </w:p>
    <w:p>
      <w:pPr>
        <w:spacing w:line="480" w:lineRule="auto"/>
        <w:ind w:firstLine="720"/>
      </w:pPr>
      <w:r>
        <w:rPr>
          <w:rFonts w:ascii="Times New Roman" w:hAnsi="Times New Roman"/>
          <w:sz w:val="24"/>
        </w:rPr>
        <w:t>Graduates of a postsecondary automotive technology program focused on electrical diagnostics should demonstrate mastery in seven interdependent competencies:</w:t>
      </w:r>
    </w:p>
    <w:p>
      <w:pPr>
        <w:spacing w:line="480" w:lineRule="auto"/>
        <w:ind w:firstLine="720"/>
      </w:pPr>
      <w:r>
        <w:rPr>
          <w:rFonts w:ascii="Times New Roman" w:hAnsi="Times New Roman"/>
          <w:b/>
          <w:sz w:val="24"/>
        </w:rPr>
        <w:t>Diagnostic Reasoning.</w:t>
      </w:r>
      <w:r>
        <w:rPr>
          <w:rFonts w:ascii="Times New Roman" w:hAnsi="Times New Roman"/>
          <w:sz w:val="24"/>
        </w:rPr>
        <w:t xml:space="preserve"> Technicians must move beyond following diagnostic trees to understanding </w:t>
      </w:r>
      <w:r>
        <w:rPr>
          <w:rFonts w:ascii="Times New Roman" w:hAnsi="Times New Roman"/>
          <w:i/>
          <w:sz w:val="24"/>
        </w:rPr>
        <w:t>why</w:t>
      </w:r>
      <w:r>
        <w:rPr>
          <w:rFonts w:ascii="Times New Roman" w:hAnsi="Times New Roman"/>
          <w:sz w:val="24"/>
        </w:rPr>
        <w:t xml:space="preserve"> vehicles behave as they do. This requires systemic thinking: understanding how electrical, mechanical, and computational systems interact; recognizing patterns in diagnostic data; forming and testing hypotheses; and revising conclusions based on evidence. In an AI-supported environment such as the Car Diagnosis Simulator, diagnostic reasoning is observable through the technician's decision sequences, the questions they ask the system, and the quality of their problem-solving approach. A novice may randomly test components; a competent technician strategically narrows possibilities through logical electrical analysis.</w:t>
      </w:r>
    </w:p>
    <w:p>
      <w:pPr>
        <w:spacing w:line="480" w:lineRule="auto"/>
        <w:ind w:firstLine="720"/>
      </w:pPr>
      <w:r>
        <w:rPr>
          <w:rFonts w:ascii="Times New Roman" w:hAnsi="Times New Roman"/>
          <w:b/>
          <w:sz w:val="24"/>
        </w:rPr>
        <w:t>Electrical System Analysis.</w:t>
      </w:r>
      <w:r>
        <w:rPr>
          <w:rFonts w:ascii="Times New Roman" w:hAnsi="Times New Roman"/>
          <w:sz w:val="24"/>
        </w:rPr>
        <w:t xml:space="preserve"> Technicians must understand automotive electrical fundamentals—voltage, current, resistance, circuits, grounding, and power distribution—not as abstract physics but as applied knowledge directly relevant to diagnosis. This includes understanding modern electrical architectures (traditional 12V systems, hybrid systems, and emerging electric vehicle systems) and how AI-supported diagnostics leverage electrical principles. Competency here means technicians can explain </w:t>
      </w:r>
      <w:r>
        <w:rPr>
          <w:rFonts w:ascii="Times New Roman" w:hAnsi="Times New Roman"/>
          <w:i/>
          <w:sz w:val="24"/>
        </w:rPr>
        <w:t>why</w:t>
      </w:r>
      <w:r>
        <w:rPr>
          <w:rFonts w:ascii="Times New Roman" w:hAnsi="Times New Roman"/>
          <w:sz w:val="24"/>
        </w:rPr>
        <w:t xml:space="preserve"> they are testing specific points and can predict electrical behavior under various fault conditions.</w:t>
      </w:r>
    </w:p>
    <w:p>
      <w:pPr>
        <w:spacing w:line="480" w:lineRule="auto"/>
        <w:ind w:firstLine="720"/>
      </w:pPr>
      <w:r>
        <w:rPr>
          <w:rFonts w:ascii="Times New Roman" w:hAnsi="Times New Roman"/>
          <w:b/>
          <w:sz w:val="24"/>
        </w:rPr>
        <w:t>Technical Documentation and Communication.</w:t>
      </w:r>
      <w:r>
        <w:rPr>
          <w:rFonts w:ascii="Times New Roman" w:hAnsi="Times New Roman"/>
          <w:sz w:val="24"/>
        </w:rPr>
        <w:t xml:space="preserve"> Professional documentation serves multiple purposes: it creates a record for the service facility, communicates findings to customers and supervisors, ensures accountability, and supports continuous quality improvement. Competent technicians write clear diagnostic reports that explain findings in language accessible to non-technical customers, document evidence-based repair decisions, and produce work orders that guide technicians and parts departments. In an AI-supported environment, this includes ability to interpret and extract meaningful information from simulator-generated diagnostic data and translate it into actionable professional reports.</w:t>
      </w:r>
    </w:p>
    <w:p>
      <w:pPr>
        <w:spacing w:line="480" w:lineRule="auto"/>
        <w:ind w:firstLine="720"/>
      </w:pPr>
      <w:r>
        <w:rPr>
          <w:rFonts w:ascii="Times New Roman" w:hAnsi="Times New Roman"/>
          <w:b/>
          <w:sz w:val="24"/>
        </w:rPr>
        <w:t>Safe Tool and Equipment Operation.</w:t>
      </w:r>
      <w:r>
        <w:rPr>
          <w:rFonts w:ascii="Times New Roman" w:hAnsi="Times New Roman"/>
          <w:sz w:val="24"/>
        </w:rPr>
        <w:t xml:space="preserve"> Safety is non-negotiable in automotive work. Technicians must demonstrate competency in proper use of diagnostic tools, electrical testing equipment, personal protective equipment, and shop procedures. This competency is particularly critical in electrical diagnostics, where improper technique can damage vehicles, create safety hazards, or produce misleading diagnostic data. Safe practice is both a competency and an ongoing professional responsibility.</w:t>
      </w:r>
    </w:p>
    <w:p>
      <w:pPr>
        <w:spacing w:line="480" w:lineRule="auto"/>
        <w:ind w:firstLine="720"/>
      </w:pPr>
      <w:r>
        <w:rPr>
          <w:rFonts w:ascii="Times New Roman" w:hAnsi="Times New Roman"/>
          <w:b/>
          <w:sz w:val="24"/>
        </w:rPr>
        <w:t>Evidence-Based Repair Decision-Making.</w:t>
      </w:r>
      <w:r>
        <w:rPr>
          <w:rFonts w:ascii="Times New Roman" w:hAnsi="Times New Roman"/>
          <w:sz w:val="24"/>
        </w:rPr>
        <w:t xml:space="preserve"> Technicians must move beyond "gut feel" to grounding repair decisions in diagnostic evidence. This means understanding the relationship between observed symptoms, diagnostic data, and root causes; avoiding premature repair decisions; and justifying recommendations to customers and supervisors with clear reasoning. In complex modern vehicles, evidence-based decision-making reduces waste (unnecessary parts replacement), improves customer satisfaction (correct diagnosis on the first visit), and protects technician credibility.</w:t>
      </w:r>
    </w:p>
    <w:p>
      <w:pPr>
        <w:spacing w:line="480" w:lineRule="auto"/>
        <w:ind w:firstLine="720"/>
      </w:pPr>
      <w:r>
        <w:rPr>
          <w:rFonts w:ascii="Times New Roman" w:hAnsi="Times New Roman"/>
          <w:b/>
          <w:sz w:val="24"/>
        </w:rPr>
        <w:t>Professional Communication.</w:t>
      </w:r>
      <w:r>
        <w:rPr>
          <w:rFonts w:ascii="Times New Roman" w:hAnsi="Times New Roman"/>
          <w:sz w:val="24"/>
        </w:rPr>
        <w:t xml:space="preserve"> Technical competency alone is insufficient; technicians must communicate effectively with customers, colleagues, and supervisors. This includes explaining technical findings in accessible language, asking clarifying questions, listening actively to customer concerns, managing expectations, and collaborating on complex diagnostics. Adult learners bring varied communication backgrounds, and assessment must account for this diversity while holding all learners accountable for professional communication standards.</w:t>
      </w:r>
    </w:p>
    <w:p>
      <w:pPr>
        <w:spacing w:line="480" w:lineRule="auto"/>
        <w:ind w:firstLine="720"/>
      </w:pPr>
      <w:r>
        <w:rPr>
          <w:rFonts w:ascii="Times New Roman" w:hAnsi="Times New Roman"/>
          <w:b/>
          <w:sz w:val="24"/>
        </w:rPr>
        <w:t>Continuous Learning and Adaptation.</w:t>
      </w:r>
      <w:r>
        <w:rPr>
          <w:rFonts w:ascii="Times New Roman" w:hAnsi="Times New Roman"/>
          <w:sz w:val="24"/>
        </w:rPr>
        <w:t xml:space="preserve"> The automotive industry is changing rapidly. Vehicles incorporate new electrical systems, advanced driver-assistance systems, electrification, and AI-supported diagnostics. Competent technicians view learning as ongoing rather than endpoint-based. They seek professional development, engage with manufacturer training, and adapt their diagnostic approaches as vehicles and tools evolve. This competency reflects a growth mindset and the reality that the initial postsecondary program is a foundation for lifelong learning, not comprehensive mastery.</w:t>
      </w:r>
    </w:p>
    <w:p>
      <w:pPr>
        <w:spacing w:line="480" w:lineRule="auto"/>
        <w:ind w:firstLine="720"/>
      </w:pPr>
      <w:r>
        <w:rPr>
          <w:rFonts w:ascii="Times New Roman" w:hAnsi="Times New Roman"/>
          <w:b/>
          <w:sz w:val="24"/>
        </w:rPr>
        <w:t>Progressive Development of Competencies</w:t>
      </w:r>
    </w:p>
    <w:p>
      <w:pPr>
        <w:spacing w:line="480" w:lineRule="auto"/>
        <w:ind w:firstLine="720"/>
      </w:pPr>
      <w:r>
        <w:rPr>
          <w:rFonts w:ascii="Times New Roman" w:hAnsi="Times New Roman"/>
          <w:sz w:val="24"/>
        </w:rPr>
        <w:t>These seven competencies do not develop simultaneously or equally. Rather, they progress through developmental stages that mirror expertise development in complex technical domains. Understanding this progression is essential for designing assessment that appropriately challenges learners and provides evidence of growing competency:</w:t>
      </w:r>
    </w:p>
    <w:p>
      <w:pPr>
        <w:spacing w:line="480" w:lineRule="auto"/>
        <w:ind w:firstLine="720"/>
      </w:pPr>
      <w:r>
        <w:rPr>
          <w:rFonts w:ascii="Times New Roman" w:hAnsi="Times New Roman"/>
          <w:b/>
          <w:sz w:val="24"/>
        </w:rPr>
        <w:t>Foundation Stage.</w:t>
      </w:r>
      <w:r>
        <w:rPr>
          <w:rFonts w:ascii="Times New Roman" w:hAnsi="Times New Roman"/>
          <w:sz w:val="24"/>
        </w:rPr>
        <w:t xml:space="preserve"> Learners acquire foundational knowledge of electrical systems, diagnostic tools, and safe practices. Assessment at this stage emphasizes conceptual understanding and safe procedure execution. Learners work closely with instructors and follow structured diagnostic protocols.</w:t>
      </w:r>
    </w:p>
    <w:p>
      <w:pPr>
        <w:spacing w:line="480" w:lineRule="auto"/>
        <w:ind w:firstLine="720"/>
      </w:pPr>
      <w:r>
        <w:rPr>
          <w:rFonts w:ascii="Times New Roman" w:hAnsi="Times New Roman"/>
          <w:b/>
          <w:sz w:val="24"/>
        </w:rPr>
        <w:t>Application Stage.</w:t>
      </w:r>
      <w:r>
        <w:rPr>
          <w:rFonts w:ascii="Times New Roman" w:hAnsi="Times New Roman"/>
          <w:sz w:val="24"/>
        </w:rPr>
        <w:t xml:space="preserve"> Learners begin applying foundational knowledge to interpret diagnostic data and make preliminary diagnostic decisions. They practice with guided scenarios, receive real-time feedback, and gradually increase autonomy. Assessment includes supervised performance assessments where reasoning can be directly observed and coached.</w:t>
      </w:r>
    </w:p>
    <w:p>
      <w:pPr>
        <w:spacing w:line="480" w:lineRule="auto"/>
        <w:ind w:firstLine="720"/>
      </w:pPr>
      <w:r>
        <w:rPr>
          <w:rFonts w:ascii="Times New Roman" w:hAnsi="Times New Roman"/>
          <w:b/>
          <w:sz w:val="24"/>
        </w:rPr>
        <w:t>Integration Stage.</w:t>
      </w:r>
      <w:r>
        <w:rPr>
          <w:rFonts w:ascii="Times New Roman" w:hAnsi="Times New Roman"/>
          <w:sz w:val="24"/>
        </w:rPr>
        <w:t xml:space="preserve"> Learners begin integrating multiple competencies: they perform diagnostics with less scaffolding, document findings professionally, and explain reasoning to peers and instructors. They encounter more complex, ambiguous diagnostic scenarios that require judgment and evidence weighing. Assessment includes authentic performance tasks where multiple competencies are simultaneously observable.</w:t>
      </w:r>
    </w:p>
    <w:p>
      <w:pPr>
        <w:spacing w:line="480" w:lineRule="auto"/>
        <w:ind w:firstLine="720"/>
      </w:pPr>
      <w:r>
        <w:rPr>
          <w:rFonts w:ascii="Times New Roman" w:hAnsi="Times New Roman"/>
          <w:b/>
          <w:sz w:val="24"/>
        </w:rPr>
        <w:t>Mastery Stage.</w:t>
      </w:r>
      <w:r>
        <w:rPr>
          <w:rFonts w:ascii="Times New Roman" w:hAnsi="Times New Roman"/>
          <w:sz w:val="24"/>
        </w:rPr>
        <w:t xml:space="preserve"> Learners demonstrate independent diagnostic competency across diverse electrical systems and fault patterns. They make sound judgments with limited guidance, communicate findings professionally, and reflect on their reasoning and learning. Assessment at this stage closely mirrors workplace performance, with high autonomy and authentic complexity.</w:t>
      </w:r>
    </w:p>
    <w:p>
      <w:pPr>
        <w:spacing w:line="480" w:lineRule="auto"/>
        <w:ind w:firstLine="720"/>
      </w:pPr>
      <w:r>
        <w:rPr>
          <w:rFonts w:ascii="Times New Roman" w:hAnsi="Times New Roman"/>
          <w:b/>
          <w:sz w:val="24"/>
        </w:rPr>
        <w:t>Advancement Stage.</w:t>
      </w:r>
      <w:r>
        <w:rPr>
          <w:rFonts w:ascii="Times New Roman" w:hAnsi="Times New Roman"/>
          <w:sz w:val="24"/>
        </w:rPr>
        <w:t xml:space="preserve"> Advanced learners mentor peers, propose improvements to diagnostic procedures, pursue advanced certification, and may transition toward supervisory or specialized diagnostic roles. This stage reflects the reality that competency development extends beyond program completion into professional careers.</w:t>
      </w:r>
    </w:p>
    <w:p>
      <w:pPr>
        <w:spacing w:line="480" w:lineRule="auto"/>
        <w:ind w:firstLine="720"/>
      </w:pPr>
      <w:r>
        <w:rPr>
          <w:rFonts w:ascii="Times New Roman" w:hAnsi="Times New Roman"/>
          <w:sz w:val="24"/>
        </w:rPr>
        <w:t>This progression is not rigidly linear—learners may operate at different stages across different competencies—but the structure ensures that assessment, instructional scaffolding, and credential decisions are developmentally appropriate and evidence-based.</w:t>
      </w:r>
    </w:p>
    <w:p>
      <w:pPr>
        <w:spacing w:line="480" w:lineRule="auto"/>
        <w:ind w:firstLine="720"/>
      </w:pPr>
      <w:r>
        <w:rPr>
          <w:rFonts w:ascii="Times New Roman" w:hAnsi="Times New Roman"/>
          <w:b/>
          <w:sz w:val="24"/>
        </w:rPr>
        <w:t>Connection Between Competencies and Assessment</w:t>
      </w:r>
    </w:p>
    <w:p>
      <w:pPr>
        <w:spacing w:line="480" w:lineRule="auto"/>
        <w:ind w:firstLine="720"/>
      </w:pPr>
      <w:r>
        <w:rPr>
          <w:rFonts w:ascii="Times New Roman" w:hAnsi="Times New Roman"/>
          <w:sz w:val="24"/>
        </w:rPr>
        <w:t>Because workforce competencies represent observable professional performance rather than isolated knowledge, assessment methods must provide learners with authentic opportunities to demonstrate these competencies under realistic diagnostic conditions. The competencies defined above cannot be adequately measured through written exams, checklists, or hypothetical scenarios divorced from the actual diagnostic reasoning that technicians perform in service departments. Rather, assessment must include performance assessments conducted in simulated and real diagnostic environments, evidence of professional communication, documented reasoning, and instructor observation of diagnostic problem-solving in action. Furthermore, assessment data should be collected continuously throughout the program—not solely on a capstone exam—so that learners receive formative feedback that supports competency development and instructors can identify learners who require additional support before summative assessment. The following sections detail the industry standards and institutional expectations that frame these competencies, the assessment methods that provide evidence of competency, and the specific rubrics and mastery criteria that define what competency looks like at program completion.</w:t>
      </w:r>
    </w:p>
    <w:p>
      <w:pPr>
        <w:spacing w:line="480" w:lineRule="auto"/>
        <w:ind w:firstLine="720"/>
      </w:pPr>
      <w:r>
        <w:rPr>
          <w:rFonts w:ascii="Times New Roman" w:hAnsi="Times New Roman"/>
          <w:b/>
          <w:sz w:val="24"/>
        </w:rPr>
        <w:t>Industry and Institutional Alignment</w:t>
      </w:r>
    </w:p>
    <w:p>
      <w:pPr>
        <w:spacing w:line="480" w:lineRule="auto"/>
        <w:ind w:firstLine="720"/>
      </w:pPr>
      <w:r>
        <w:rPr>
          <w:rFonts w:ascii="Times New Roman" w:hAnsi="Times New Roman"/>
          <w:sz w:val="24"/>
        </w:rPr>
        <w:t>The competencies outlined in the previous section are not arbitrary educational constructs but rather observable capabilities that automotive employers consistently identify as critical for entry-level and advanced technician roles. Effective program assessment requires intentional alignment among employer expectations, professional standards, institutional outcomes, and assessment methods. This alignment ensures that graduates are genuinely prepared for employment and that credentials and program completion represent meaningful competency rather than simply course completion. Without alignment, programs risk graduating students who have satisfactory grades but lack workplace-ready competency—or conversely, implementing rigorous assessments that measure trivial or disconnected skills.</w:t>
      </w:r>
    </w:p>
    <w:p>
      <w:pPr>
        <w:spacing w:line="480" w:lineRule="auto"/>
        <w:ind w:firstLine="720"/>
      </w:pPr>
      <w:r>
        <w:rPr>
          <w:rFonts w:ascii="Times New Roman" w:hAnsi="Times New Roman"/>
          <w:b/>
          <w:sz w:val="24"/>
        </w:rPr>
        <w:t>Employer Expectations and Workplace Performance</w:t>
      </w:r>
    </w:p>
    <w:p>
      <w:pPr>
        <w:spacing w:line="480" w:lineRule="auto"/>
        <w:ind w:firstLine="720"/>
      </w:pPr>
      <w:r>
        <w:rPr>
          <w:rFonts w:ascii="Times New Roman" w:hAnsi="Times New Roman"/>
          <w:sz w:val="24"/>
        </w:rPr>
        <w:t>Automotive service departments—dealerships, independent shops, fleet maintenance operations, and diagnostic centers—hire technicians based on demonstrated or promised competency in specific technical and professional domains. Employers do not primarily evaluate job candidates based on academic transcripts; instead, they assess hands-on diagnostic ability, communication effectiveness, safety consciousness, problem-solving approach, and cultural fit within the service team. When interviewing or evaluating new technicians, employers ask: Can this person diagnose and repair vehicles? Will this person make sound, evidence-based decisions? Can this person work safely and professionally? Will this person continue learning as the industry evolves? These questions map directly onto the seven competencies identified in the previous section. Employers expect graduates to demonstrate diagnostic reasoning, not simply memorize diagnostic procedures. They expect effective communication, not just technical knowledge. They expect continuous learning and professional judgment, not passive compliance with directions. Furthermore, employers increasingly expect technicians to work effectively with AI-supported diagnostic tools—scanning vehicles, interpreting simulator outputs, and making repair decisions informed by machine-generated diagnostic data. This shift toward AI-informed diagnostics makes it imperative that educational programs develop competency in reasoning with advanced tools, not simply technical knowledge or tool operation in isolation.</w:t>
      </w:r>
    </w:p>
    <w:p>
      <w:pPr>
        <w:spacing w:line="480" w:lineRule="auto"/>
        <w:ind w:firstLine="720"/>
      </w:pPr>
      <w:r>
        <w:rPr>
          <w:rFonts w:ascii="Times New Roman" w:hAnsi="Times New Roman"/>
          <w:b/>
          <w:sz w:val="24"/>
        </w:rPr>
        <w:t>ASE Certification and Professional Standards</w:t>
      </w:r>
    </w:p>
    <w:p>
      <w:pPr>
        <w:spacing w:line="480" w:lineRule="auto"/>
        <w:ind w:firstLine="720"/>
      </w:pPr>
      <w:r>
        <w:rPr>
          <w:rFonts w:ascii="Times New Roman" w:hAnsi="Times New Roman"/>
          <w:sz w:val="24"/>
        </w:rPr>
        <w:t xml:space="preserve">The National Institute for Automotive Service Excellence (ASE) establishes professional standards for automotive technicians through certification examinations and task areas. While ASE certification is not universally required, it is widely recognized in the industry as validation of competency. ASE electrical systems certification (L1) requires technicians to demonstrate competency across multiple task areas: electrical system diagnosis and repair, starting and charging system service, lighting system service, and auxiliary systems. Each task area comprises specific technical skills and knowledge. Importantly, ASE certification is knowledge-based—the examinations assess factual and conceptual understanding—but workplace competency requires more than knowledge. A technician may pass an ASE exam through memorized facts yet struggle to diagnose a complex electrical problem in an actual vehicle because diagnostic reasoning, judgment, and systematic problem-solving are only partially assessed through written examinations. This distinction is crucial: </w:t>
      </w:r>
      <w:r>
        <w:rPr>
          <w:rFonts w:ascii="Times New Roman" w:hAnsi="Times New Roman"/>
          <w:b/>
          <w:sz w:val="24"/>
        </w:rPr>
        <w:t>ASE standards inform and support curriculum design, but they do not replace or fully define competency-based assessment</w:t>
      </w:r>
      <w:r>
        <w:rPr>
          <w:rFonts w:ascii="Times New Roman" w:hAnsi="Times New Roman"/>
          <w:sz w:val="24"/>
        </w:rPr>
        <w:t>. Rather, ASE alignment provides a shared professional language and ensures that educational programs address industry-recognized technical content. However, competency-based assessment in educational programs must measure the integrated reasoning, judgment, and authentic performance that ASE exams cannot fully capture. Stackable credentials are also relevant here: entry-level technician competency can build toward advanced certification (ASE Master Technician), specialization credentials (hybrid/electric vehicle certification), and supervisory certifications. Programs that clearly articulate competency levels and align assessments with these progression pathways better support learner advancement and employer confidence in graduate capabilities.</w:t>
      </w:r>
    </w:p>
    <w:p>
      <w:pPr>
        <w:spacing w:line="480" w:lineRule="auto"/>
        <w:ind w:firstLine="720"/>
      </w:pPr>
      <w:r>
        <w:rPr>
          <w:rFonts w:ascii="Times New Roman" w:hAnsi="Times New Roman"/>
          <w:b/>
          <w:sz w:val="24"/>
        </w:rPr>
        <w:t>Institutional Program Outcomes and Alignment</w:t>
      </w:r>
    </w:p>
    <w:p>
      <w:pPr>
        <w:spacing w:line="480" w:lineRule="auto"/>
        <w:ind w:firstLine="720"/>
      </w:pPr>
      <w:r>
        <w:rPr>
          <w:rFonts w:ascii="Times New Roman" w:hAnsi="Times New Roman"/>
          <w:sz w:val="24"/>
        </w:rPr>
        <w:t>Postsecondary automotive technology programs typically operate within community colleges or technical schools with institutional missions focused on workforce development, economic vitality, and accessible education. Institutional program outcomes for automotive technology typically address technical competency (diagnosing and repairing vehicles), professional communication, safety, and lifelong learning—outcomes aligned with employer expectations. However, alignment is not automatic. Programs can articulate high-level outcomes and then implement assessments misaligned with those outcomes. For example, a program might state as an outcome: "Graduates will diagnose electrical faults using systematic reasoning and evidence-based methods." However, if assessment relies primarily on written exams about electrical theory or procedural checklists completed in low-fidelity contexts, the assessment does not actually measure diagnostic reasoning or evidence-based decision-making. Authentic alignment requires deliberate connection among: (1) program outcomes (what learners should be able to do), (2) instructional design (how learning is structured to develop competencies), (3) assessment methods (what evidence demonstrates competency), and (4) evaluation criteria (how we interpret evidence and determine mastery). In an automotive technology program, this means outcomes emphasizing diagnostic reasoning must be taught through authentic problem-solving activities and assessed through performance tasks that require diagnostic reasoning. Outcomes emphasizing professional communication must be developed through deliberate communication instruction and assessed through evaluated professional work products. This principle of alignment is not specific to automotive technology; it applies across all career and technical education and adult learning contexts.</w:t>
      </w:r>
    </w:p>
    <w:p>
      <w:pPr>
        <w:spacing w:line="480" w:lineRule="auto"/>
        <w:ind w:firstLine="720"/>
      </w:pPr>
      <w:r>
        <w:rPr>
          <w:rFonts w:ascii="Times New Roman" w:hAnsi="Times New Roman"/>
          <w:b/>
          <w:sz w:val="24"/>
        </w:rPr>
        <w:t>Bridging Education and Workplace Performance</w:t>
      </w:r>
    </w:p>
    <w:p>
      <w:pPr>
        <w:spacing w:line="480" w:lineRule="auto"/>
        <w:ind w:firstLine="720"/>
      </w:pPr>
      <w:r>
        <w:rPr>
          <w:rFonts w:ascii="Times New Roman" w:hAnsi="Times New Roman"/>
          <w:sz w:val="24"/>
        </w:rPr>
        <w:t>A persistent challenge in CTE is the gap between academic performance and workplace performance. Students may earn high grades in coursework yet struggle with the pace, ambiguity, decision-making demands, and interpersonal dynamics of actual employment. Conversely, some students underperform academically but demonstrate strong workplace competency. This gap reflects, in part, differences between educational and workplace contexts. Educational contexts often feature controlled conditions, clear right-and-wrong answers, limited time pressure, and supportive instructors. Workplace contexts feature ambiguous problems, competing priorities, time pressure, customer expectations, and supervisor evaluation. To narrow this gap, assessment methods must progressively approximate workplace authenticity. Rather than relying solely on written exams or controlled laboratory exercises, authentic assessment in automotive technology includes performance tasks conducted under realistic diagnostic conditions: working with actual or simulated vehicles, making decisions under time pressure, justifying reasoning to supervisors or customers, and experiencing natural consequences of diagnostic choices. The Car Diagnosis Simulator is valuable precisely because it replicates workplace authenticity while maintaining a learning environment: learners encounter complex electrical problems similar to those encountered in service departments, make real diagnostic decisions that affect problem-solving outcomes, receive immediate feedback, and can engage in multiple diagnostic scenarios within a learning session. This repeated practice with authentic problems, combined with instructor feedback and reflection, builds competency that is more likely to transfer to workplace performance than isolated, low-fidelity educational activities.</w:t>
      </w:r>
    </w:p>
    <w:p>
      <w:pPr>
        <w:spacing w:line="480" w:lineRule="auto"/>
        <w:ind w:firstLine="720"/>
      </w:pPr>
      <w:r>
        <w:rPr>
          <w:rFonts w:ascii="Times New Roman" w:hAnsi="Times New Roman"/>
          <w:b/>
          <w:sz w:val="24"/>
        </w:rPr>
        <w:t>Continuous Assessment and Program Improvement</w:t>
      </w:r>
    </w:p>
    <w:p>
      <w:pPr>
        <w:spacing w:line="480" w:lineRule="auto"/>
        <w:ind w:firstLine="720"/>
      </w:pPr>
      <w:r>
        <w:rPr>
          <w:rFonts w:ascii="Times New Roman" w:hAnsi="Times New Roman"/>
          <w:sz w:val="24"/>
        </w:rPr>
        <w:t>Alignment is not a static state achieved once and then maintained. Rather, alignment requires continuous attention and improvement. Employers' expectations evolve; ASE standards are periodically updated; vehicle technologies change; new tools emerge; and learner demographics shift. Effective programs establish feedback loops: regularly communicate with employers to understand evolving workforce expectations; monitor graduate employment outcomes and employer feedback about graduate readiness; review assessment data to identify gaps between program competencies and demonstrated student performance; engage in peer review with other automotive programs; and adjust curriculum, instruction, and assessment accordingly. This continuous improvement orientation aligns with the competency "continuous learning and adaptation" that is expected of graduates themselves. Programs that demonstrate commitment to ongoing alignment with industry expectations and authentic assessment design earn credibility with employers, attract qualified learners, and produce graduates prepared for meaningful employment and career advancement.</w:t>
      </w:r>
    </w:p>
    <w:p>
      <w:pPr>
        <w:spacing w:line="480" w:lineRule="auto"/>
        <w:ind w:firstLine="720"/>
      </w:pPr>
      <w:r>
        <w:rPr>
          <w:rFonts w:ascii="Times New Roman" w:hAnsi="Times New Roman"/>
          <w:b/>
          <w:sz w:val="24"/>
        </w:rPr>
        <w:t>Transition to Assessment Methods</w:t>
      </w:r>
    </w:p>
    <w:p>
      <w:pPr>
        <w:spacing w:line="480" w:lineRule="auto"/>
        <w:ind w:firstLine="720"/>
      </w:pPr>
      <w:r>
        <w:rPr>
          <w:rFonts w:ascii="Times New Roman" w:hAnsi="Times New Roman"/>
          <w:sz w:val="24"/>
        </w:rPr>
        <w:t xml:space="preserve">Industry expectations, professional standards, and institutional outcomes clearly define </w:t>
      </w:r>
      <w:r>
        <w:rPr>
          <w:rFonts w:ascii="Times New Roman" w:hAnsi="Times New Roman"/>
          <w:i/>
          <w:sz w:val="24"/>
        </w:rPr>
        <w:t>what</w:t>
      </w:r>
      <w:r>
        <w:rPr>
          <w:rFonts w:ascii="Times New Roman" w:hAnsi="Times New Roman"/>
          <w:sz w:val="24"/>
        </w:rPr>
        <w:t xml:space="preserve"> competencies graduates should demonstrate. Authentic alignment ensures that program outcomes and instructional design address those competencies. However, clear competency definitions alone do not ensure that assessment actually measures competency. The next section details specific assessment methods—formative and summative, individual and collaborative, knowledge-based and performance-based—that together provide valid, reliable evidence of whether learners have genuinely developed the workforce competencies that industry expects and institutions promise.</w:t>
      </w:r>
    </w:p>
    <w:p>
      <w:pPr>
        <w:spacing w:line="480" w:lineRule="auto"/>
        <w:ind w:firstLine="720"/>
      </w:pPr>
      <w:r>
        <w:rPr>
          <w:rFonts w:ascii="Times New Roman" w:hAnsi="Times New Roman"/>
          <w:b/>
          <w:sz w:val="24"/>
        </w:rPr>
        <w:t>Certification and Credential Considerations</w:t>
      </w:r>
    </w:p>
    <w:p>
      <w:pPr>
        <w:spacing w:line="480" w:lineRule="auto"/>
        <w:ind w:firstLine="720"/>
      </w:pPr>
      <w:r>
        <w:rPr>
          <w:rFonts w:ascii="Times New Roman" w:hAnsi="Times New Roman"/>
          <w:sz w:val="24"/>
        </w:rPr>
        <w:t>Credentials—certifications, certificates, and degrees—serve as external validation of professional competency. They communicate to employers, colleagues, and clients that the credential holder has demonstrated specified knowledge and skills. In automotive technology, credentials range from program completion certificates to industry-recognized ASE certifications to advanced specialty credentials. However, credentials play a subtle but critical role in workforce preparation. Credentials do not create competency; rather, they recognize and validate competency that has been developed through education and experience. This distinction is essential for understanding the relationship between instructional assessment and professional credentialing. Programs that conflate credential attainment with competency development risk graduating students who hold credentials but lack genuine workplace readiness—or conversely, implementing assessment so focused on credentialing requirements that they neglect broader professional competencies that credentials do not measure.</w:t>
      </w:r>
    </w:p>
    <w:p>
      <w:pPr>
        <w:spacing w:line="480" w:lineRule="auto"/>
        <w:ind w:firstLine="720"/>
      </w:pPr>
      <w:r>
        <w:rPr>
          <w:rFonts w:ascii="Times New Roman" w:hAnsi="Times New Roman"/>
          <w:b/>
          <w:sz w:val="24"/>
        </w:rPr>
        <w:t>The Role of Credentials in Career Development</w:t>
      </w:r>
    </w:p>
    <w:p>
      <w:pPr>
        <w:spacing w:line="480" w:lineRule="auto"/>
        <w:ind w:firstLine="720"/>
      </w:pPr>
      <w:r>
        <w:rPr>
          <w:rFonts w:ascii="Times New Roman" w:hAnsi="Times New Roman"/>
          <w:sz w:val="24"/>
        </w:rPr>
        <w:t>Automotive technology graduates pursue diverse career pathways. Some seek immediate entry-level employment in service departments; others pursue credential stackability to advance from technician roles toward supervisory, training, or specialized diagnostic positions. Credentials facilitate these transitions by providing portable evidence of competency that is recognized across employers and geographic regions. Without recognized credentials, a technician's competency is known only to their current employer. With credentials, that competency becomes formally documented and transferable. For adult learners specifically, credentials often carry tangible value: they may increase earning potential, improve job security, enable career mobility, and demonstrate commitment to professional development. Furthermore, lifelong learning is increasingly expected in automotive work. A technician who completed an associate degree in 2020 cannot rely solely on that credential in 2030; instead, credentials must support continued learning and specialization. This means program design should articulate not only entry-level competencies but also pathways for credential stackability and advancement. For example, a postsecondary automotive technology program might offer: a certificate for electrical diagnostics completion, allowing entry-level employment; an associate degree that combines electrical diagnostics with additional coursework in engine performance, hybrid systems, and business skills; and explicit connections to ASE certification pathways that enable graduates to pursue advanced certifications while employed. This tiered credentialing approach acknowledges that competency development extends beyond program completion and that credentials should facilitate ongoing professional growth.</w:t>
      </w:r>
    </w:p>
    <w:p>
      <w:pPr>
        <w:spacing w:line="480" w:lineRule="auto"/>
        <w:ind w:firstLine="720"/>
      </w:pPr>
      <w:r>
        <w:rPr>
          <w:rFonts w:ascii="Times New Roman" w:hAnsi="Times New Roman"/>
          <w:b/>
          <w:sz w:val="24"/>
        </w:rPr>
        <w:t>Institutional Credentials</w:t>
      </w:r>
    </w:p>
    <w:p>
      <w:pPr>
        <w:spacing w:line="480" w:lineRule="auto"/>
        <w:ind w:firstLine="720"/>
      </w:pPr>
      <w:r>
        <w:rPr>
          <w:rFonts w:ascii="Times New Roman" w:hAnsi="Times New Roman"/>
          <w:sz w:val="24"/>
        </w:rPr>
        <w:t xml:space="preserve">Postsecondary automotive technology programs offer credentials ranging from certificates to associate degrees, and increasingly, institutions are structuring these as stackable credentials. A </w:t>
      </w:r>
      <w:r>
        <w:rPr>
          <w:rFonts w:ascii="Times New Roman" w:hAnsi="Times New Roman"/>
          <w:b/>
          <w:sz w:val="24"/>
        </w:rPr>
        <w:t>certificate in automotive electrical diagnostics</w:t>
      </w:r>
      <w:r>
        <w:rPr>
          <w:rFonts w:ascii="Times New Roman" w:hAnsi="Times New Roman"/>
          <w:sz w:val="24"/>
        </w:rPr>
        <w:t xml:space="preserve"> recognizes that a student has completed coursework and demonstrated competency in electrical system fundamentals, diagnostic procedures, and safe practices. This credential provides entry-level credibility and may qualify graduates for technician positions in service departments or diagnostic centers. An </w:t>
      </w:r>
      <w:r>
        <w:rPr>
          <w:rFonts w:ascii="Times New Roman" w:hAnsi="Times New Roman"/>
          <w:b/>
          <w:sz w:val="24"/>
        </w:rPr>
        <w:t>associate degree in automotive technology</w:t>
      </w:r>
      <w:r>
        <w:rPr>
          <w:rFonts w:ascii="Times New Roman" w:hAnsi="Times New Roman"/>
          <w:sz w:val="24"/>
        </w:rPr>
        <w:t xml:space="preserve"> extends beyond the certificate by requiring additional coursework in related technical areas (engine performance, transmission systems, hybrid/electric vehicles), general education (communication, mathematics, workplace skills), and potentially specialized topics such as ASE certification preparation or advanced diagnostics. The associate degree signals broader technical knowledge and is often preferred by employers for advancement or supervisory pathways. </w:t>
      </w:r>
      <w:r>
        <w:rPr>
          <w:rFonts w:ascii="Times New Roman" w:hAnsi="Times New Roman"/>
          <w:b/>
          <w:sz w:val="24"/>
        </w:rPr>
        <w:t>Stackable credentials</w:t>
      </w:r>
      <w:r>
        <w:rPr>
          <w:rFonts w:ascii="Times New Roman" w:hAnsi="Times New Roman"/>
          <w:sz w:val="24"/>
        </w:rPr>
        <w:t xml:space="preserve"> represent a more intentional structure: students complete a certificate program that provides entry-level employment qualification, then continue coursework modularly to earn advanced certificates or an associate degree without repeating previously completed work. This approach is particularly valuable for adult learners who may pursue education part-time while employed and need intermediate credentials and employment opportunities along the way. However, the existence of stackable credentials does not automatically mean that assessment is stackable or developmentally coherent. Programs must ensure that credential requirements align with developmental competency progression: credentials earned early in the program should measure foundational competencies with appropriate scaffolding, while advanced credentials should measure integrated competencies under authentic, high-autonomy conditions. Otherwise, students may hold credentials that do not meaningfully predict their ability to perform at the next level.</w:t>
      </w:r>
    </w:p>
    <w:p>
      <w:pPr>
        <w:spacing w:line="480" w:lineRule="auto"/>
        <w:ind w:firstLine="720"/>
      </w:pPr>
      <w:r>
        <w:rPr>
          <w:rFonts w:ascii="Times New Roman" w:hAnsi="Times New Roman"/>
          <w:b/>
          <w:sz w:val="24"/>
        </w:rPr>
        <w:t>Industry Credentials and Professional Standards</w:t>
      </w:r>
    </w:p>
    <w:p>
      <w:pPr>
        <w:spacing w:line="480" w:lineRule="auto"/>
        <w:ind w:firstLine="720"/>
      </w:pPr>
      <w:r>
        <w:rPr>
          <w:rFonts w:ascii="Times New Roman" w:hAnsi="Times New Roman"/>
          <w:sz w:val="24"/>
        </w:rPr>
        <w:t xml:space="preserve">The </w:t>
      </w:r>
      <w:r>
        <w:rPr>
          <w:rFonts w:ascii="Times New Roman" w:hAnsi="Times New Roman"/>
          <w:b/>
          <w:sz w:val="24"/>
        </w:rPr>
        <w:t>ASE L1 electrical systems certification</w:t>
      </w:r>
      <w:r>
        <w:rPr>
          <w:rFonts w:ascii="Times New Roman" w:hAnsi="Times New Roman"/>
          <w:sz w:val="24"/>
        </w:rPr>
        <w:t xml:space="preserve"> is the most widely recognized industry credential for automotive electrical technicians. ASE certification requires passing a comprehensive knowledge examination covering electrical system diagnosis and repair, starting and charging systems, lighting systems, and auxiliary systems. Many employers prefer or require ASE certification for employment or advancement. However, ASE certification is fundamentally knowledge-based: it measures factual and conceptual understanding through a written examination. A technician who passes the ASE L1 exam has demonstrated knowledge of electrical principles and procedures; this does not automatically mean the technician can diagnose and repair complex electrical problems in an actual vehicle under workplace conditions. </w:t>
      </w:r>
      <w:r>
        <w:rPr>
          <w:rFonts w:ascii="Times New Roman" w:hAnsi="Times New Roman"/>
          <w:b/>
          <w:sz w:val="24"/>
        </w:rPr>
        <w:t>Manufacturer certifications</w:t>
      </w:r>
      <w:r>
        <w:rPr>
          <w:rFonts w:ascii="Times New Roman" w:hAnsi="Times New Roman"/>
          <w:sz w:val="24"/>
        </w:rPr>
        <w:t xml:space="preserve"> (e.g., Toyota Certified Technician, Ford Master Technician programs) validate competency with specific vehicle systems and manufacturer diagnostic tools. These certifications often include both knowledge assessment and hands-on performance evaluation, making them more aligned with authentic competency than ASE alone. </w:t>
      </w:r>
      <w:r>
        <w:rPr>
          <w:rFonts w:ascii="Times New Roman" w:hAnsi="Times New Roman"/>
          <w:b/>
          <w:sz w:val="24"/>
        </w:rPr>
        <w:t>Continuing education credentials</w:t>
      </w:r>
      <w:r>
        <w:rPr>
          <w:rFonts w:ascii="Times New Roman" w:hAnsi="Times New Roman"/>
          <w:sz w:val="24"/>
        </w:rPr>
        <w:t xml:space="preserve"> and </w:t>
      </w:r>
      <w:r>
        <w:rPr>
          <w:rFonts w:ascii="Times New Roman" w:hAnsi="Times New Roman"/>
          <w:b/>
          <w:sz w:val="24"/>
        </w:rPr>
        <w:t>specialty certifications</w:t>
      </w:r>
      <w:r>
        <w:rPr>
          <w:rFonts w:ascii="Times New Roman" w:hAnsi="Times New Roman"/>
          <w:sz w:val="24"/>
        </w:rPr>
        <w:t xml:space="preserve"> (e.g., hybrid/electric vehicle technician, advanced diagnostics) reflect the reality that competency in automotive technology requires ongoing development as the industry evolves. A technician certified in traditional gasoline engines faces rapidly obsolete credentials as vehicles electrify. Programs that maintain connections to manufacturer training, continuing education providers, and professional organizations help ensure that student learning pathways and credentials remain current and relevant to evolving workforce expectations.</w:t>
      </w:r>
    </w:p>
    <w:p>
      <w:pPr>
        <w:spacing w:line="480" w:lineRule="auto"/>
        <w:ind w:firstLine="720"/>
      </w:pPr>
      <w:r>
        <w:rPr>
          <w:rFonts w:ascii="Times New Roman" w:hAnsi="Times New Roman"/>
          <w:b/>
          <w:sz w:val="24"/>
        </w:rPr>
        <w:t>Competency Versus Certification: A Critical Distinction</w:t>
      </w:r>
    </w:p>
    <w:p>
      <w:pPr>
        <w:spacing w:line="480" w:lineRule="auto"/>
        <w:ind w:firstLine="720"/>
      </w:pPr>
      <w:r>
        <w:rPr>
          <w:rFonts w:ascii="Times New Roman" w:hAnsi="Times New Roman"/>
          <w:sz w:val="24"/>
        </w:rPr>
        <w:t xml:space="preserve">The relationship between competency and certification can be misunderstood. Educational programs sometimes assume that preparing students for ASE certification is equivalent to developing comprehensive workplace competency. However, </w:t>
      </w:r>
      <w:r>
        <w:rPr>
          <w:rFonts w:ascii="Times New Roman" w:hAnsi="Times New Roman"/>
          <w:b/>
          <w:sz w:val="24"/>
        </w:rPr>
        <w:t>certification recognizes the achievement of specified competencies; it does not define the full scope of competencies required for workplace success</w:t>
      </w:r>
      <w:r>
        <w:rPr>
          <w:rFonts w:ascii="Times New Roman" w:hAnsi="Times New Roman"/>
          <w:sz w:val="24"/>
        </w:rPr>
        <w:t xml:space="preserve">. ASE certification examines electrical knowledge and procedures; it does not directly assess diagnostic reasoning, communication effectiveness, safety practices under pressure, evidence-based decision-making with ambiguous data, or professional judgment in complex scenarios. A technician may pass ASE certification and still struggle with authentic diagnostic challenges. Conversely, competency-based educational assessment can measure reasoning, judgment, and performance that ASE examinations do not directly assess. This distinction is critical for program design: </w:t>
      </w:r>
      <w:r>
        <w:rPr>
          <w:rFonts w:ascii="Times New Roman" w:hAnsi="Times New Roman"/>
          <w:b/>
          <w:sz w:val="24"/>
        </w:rPr>
        <w:t>effective programs develop comprehensive workplace competency as the primary goal, align ASE certification preparation as a supporting credential, and use authentic assessment to measure competencies that extend beyond what certification examines</w:t>
      </w:r>
      <w:r>
        <w:rPr>
          <w:rFonts w:ascii="Times New Roman" w:hAnsi="Times New Roman"/>
          <w:sz w:val="24"/>
        </w:rPr>
        <w:t>. Students who develop comprehensive competency through authentic assessment are more likely to succeed on industry certifications than students who study primarily for certification exams. Furthermore, students who achieve comprehensive competency are better prepared for the ambiguous, challenging, real-world diagnostic work they will encounter as employees, regardless of whether they immediately pursue advanced certifications.</w:t>
      </w:r>
    </w:p>
    <w:p>
      <w:pPr>
        <w:spacing w:line="480" w:lineRule="auto"/>
        <w:ind w:firstLine="720"/>
      </w:pPr>
      <w:r>
        <w:rPr>
          <w:rFonts w:ascii="Times New Roman" w:hAnsi="Times New Roman"/>
          <w:b/>
          <w:sz w:val="24"/>
        </w:rPr>
        <w:t>Transition to Assessment Methods</w:t>
      </w:r>
    </w:p>
    <w:p>
      <w:pPr>
        <w:spacing w:line="480" w:lineRule="auto"/>
        <w:ind w:firstLine="720"/>
      </w:pPr>
      <w:r>
        <w:rPr>
          <w:rFonts w:ascii="Times New Roman" w:hAnsi="Times New Roman"/>
          <w:sz w:val="24"/>
        </w:rPr>
        <w:t>Although certifications provide important external validation of professional competence, educators must first determine whether learners have actually achieved the knowledge, technical skills, diagnostic reasoning, and professional behaviors required for certification success and, more importantly, for genuine workplace competency. The question that drives this manuscript—</w:t>
      </w:r>
      <w:r>
        <w:rPr>
          <w:rFonts w:ascii="Times New Roman" w:hAnsi="Times New Roman"/>
          <w:i/>
          <w:sz w:val="24"/>
        </w:rPr>
        <w:t>How do instructors determine that learners are genuinely prepared to perform successfully in the automotive workforce?</w:t>
      </w:r>
      <w:r>
        <w:rPr>
          <w:rFonts w:ascii="Times New Roman" w:hAnsi="Times New Roman"/>
          <w:sz w:val="24"/>
        </w:rPr>
        <w:t>—cannot be answered through credential attainment alone. Credentials are outcomes; they result from successful completion of educational experiences and assessment. The critical work lies upstream: in the design of authentic assessment methods capable of measuring whether learners have genuinely developed the integrated competencies outlined in the previous sections. The next section details formative and summative assessment methods, performance assessments, rubrics, and evaluation criteria that collectively provide evidence of competency development and inform both program-level credential decisions and individual learner mastery determination.</w:t>
      </w:r>
    </w:p>
    <w:p>
      <w:pPr>
        <w:spacing w:line="480" w:lineRule="auto"/>
        <w:ind w:firstLine="720"/>
      </w:pPr>
      <w:r>
        <w:rPr>
          <w:rFonts w:ascii="Times New Roman" w:hAnsi="Times New Roman"/>
          <w:b/>
          <w:sz w:val="24"/>
        </w:rPr>
        <w:t>Assessment Methods</w:t>
      </w:r>
    </w:p>
    <w:p>
      <w:pPr>
        <w:spacing w:line="480" w:lineRule="auto"/>
        <w:ind w:firstLine="720"/>
      </w:pPr>
      <w:r>
        <w:rPr>
          <w:rFonts w:ascii="Times New Roman" w:hAnsi="Times New Roman"/>
          <w:b/>
          <w:sz w:val="24"/>
        </w:rPr>
        <w:t>Assessment as Evidence of Competency</w:t>
      </w:r>
    </w:p>
    <w:p>
      <w:pPr>
        <w:spacing w:line="480" w:lineRule="auto"/>
        <w:ind w:firstLine="720"/>
      </w:pPr>
      <w:r>
        <w:rPr>
          <w:rFonts w:ascii="Times New Roman" w:hAnsi="Times New Roman"/>
          <w:sz w:val="24"/>
        </w:rPr>
        <w:t xml:space="preserve">Assessment and grading are often conflated but represent distinct functions. Grading is the assignment of scores or marks indicating academic performance. Assessment is the systematic collection of evidence regarding learner performance, competency development, and achievement. The distinction is critical: a student may receive a high grade in a course (through good test scores and assignments) yet demonstrate weak competency in applied practice. Conversely, a student who struggles with academic assessments may demonstrate strong competency when performing authentic professional tasks. Competency-based assessment in career and technical education is fundamentally different from traditional grading because it asks not simply "Did the student pass the test?" but rather three deeper questions: </w:t>
      </w:r>
      <w:r>
        <w:rPr>
          <w:rFonts w:ascii="Times New Roman" w:hAnsi="Times New Roman"/>
          <w:b/>
          <w:sz w:val="24"/>
        </w:rPr>
        <w:t>Can the learner perform the competency authentically and independently?</w:t>
      </w:r>
      <w:r>
        <w:rPr>
          <w:rFonts w:ascii="Times New Roman" w:hAnsi="Times New Roman"/>
          <w:sz w:val="24"/>
        </w:rPr>
        <w:t xml:space="preserve"> </w:t>
      </w:r>
      <w:r>
        <w:rPr>
          <w:rFonts w:ascii="Times New Roman" w:hAnsi="Times New Roman"/>
          <w:b/>
          <w:sz w:val="24"/>
        </w:rPr>
        <w:t>Can the learner explain the reasoning, principles, and evidence supporting their performance?</w:t>
      </w:r>
      <w:r>
        <w:rPr>
          <w:rFonts w:ascii="Times New Roman" w:hAnsi="Times New Roman"/>
          <w:sz w:val="24"/>
        </w:rPr>
        <w:t xml:space="preserve"> </w:t>
      </w:r>
      <w:r>
        <w:rPr>
          <w:rFonts w:ascii="Times New Roman" w:hAnsi="Times New Roman"/>
          <w:b/>
          <w:sz w:val="24"/>
        </w:rPr>
        <w:t>Can the learner transfer that performance to novel situations encountered in actual workplace contexts?</w:t>
      </w:r>
      <w:r>
        <w:rPr>
          <w:rFonts w:ascii="Times New Roman" w:hAnsi="Times New Roman"/>
          <w:sz w:val="24"/>
        </w:rPr>
        <w:t xml:space="preserve"> These questions shift assessment focus from knowledge recall to integrated reasoning and workplace readiness. Assessment methods must therefore provide direct evidence of performance under authentic conditions, evidence of reasoning and explanation, and evidence of transferability. A well-designed assessment system in automotive technology collects evidence through multiple methods—observations, practical demonstrations, written documentation, simulator analytics, peer feedback, and reflection—rather than relying on a single assessment type. Each method provides a different lens on competency. Collectively, they create a multidimensional picture of learner readiness that is far more valid and reliable than any single assessment can provide. The following subsections detail the assessment methods that, when integrated, answer the central question guiding this paper: </w:t>
      </w:r>
      <w:r>
        <w:rPr>
          <w:rFonts w:ascii="Times New Roman" w:hAnsi="Times New Roman"/>
          <w:i/>
          <w:sz w:val="24"/>
        </w:rPr>
        <w:t>How do we know learners are genuinely prepared for successful automotive technician employment?</w:t>
      </w:r>
    </w:p>
    <w:p>
      <w:pPr>
        <w:spacing w:line="480" w:lineRule="auto"/>
        <w:ind w:firstLine="720"/>
      </w:pPr>
      <w:r>
        <w:rPr>
          <w:rFonts w:ascii="Times New Roman" w:hAnsi="Times New Roman"/>
          <w:b/>
          <w:sz w:val="24"/>
        </w:rPr>
        <w:t>Formative Assessment: Continuous Evidence Collection and Feedback</w:t>
      </w:r>
    </w:p>
    <w:p>
      <w:pPr>
        <w:spacing w:line="480" w:lineRule="auto"/>
        <w:ind w:firstLine="720"/>
      </w:pPr>
      <w:r>
        <w:rPr>
          <w:rFonts w:ascii="Times New Roman" w:hAnsi="Times New Roman"/>
          <w:sz w:val="24"/>
        </w:rPr>
        <w:t xml:space="preserve">Formative assessment occurs during learning and serves to inform instruction, provide learner feedback, and identify areas requiring additional support. Unlike summative assessment—which determines whether competency has been achieved—formative assessment guides the learning process and helps learners understand their progress toward competency. In automotive technology programs, formative assessment methods include: </w:t>
      </w:r>
      <w:r>
        <w:rPr>
          <w:rFonts w:ascii="Times New Roman" w:hAnsi="Times New Roman"/>
          <w:b/>
          <w:sz w:val="24"/>
        </w:rPr>
        <w:t>instructor observation of diagnostic work</w:t>
      </w:r>
      <w:r>
        <w:rPr>
          <w:rFonts w:ascii="Times New Roman" w:hAnsi="Times New Roman"/>
          <w:sz w:val="24"/>
        </w:rPr>
        <w:t xml:space="preserve">, where instructors watch learners troubleshooting problems and note reasoning quality, procedural accuracy, safety practices, and communication; </w:t>
      </w:r>
      <w:r>
        <w:rPr>
          <w:rFonts w:ascii="Times New Roman" w:hAnsi="Times New Roman"/>
          <w:b/>
          <w:sz w:val="24"/>
        </w:rPr>
        <w:t>simulator analytics</w:t>
      </w:r>
      <w:r>
        <w:rPr>
          <w:rFonts w:ascii="Times New Roman" w:hAnsi="Times New Roman"/>
          <w:sz w:val="24"/>
        </w:rPr>
        <w:t xml:space="preserve">, where AI-supported diagnostic simulators automatically track learner decision sequences, time spent at diagnostic steps, accuracy of hypothesis formation, and patterns in problem-solving; </w:t>
      </w:r>
      <w:r>
        <w:rPr>
          <w:rFonts w:ascii="Times New Roman" w:hAnsi="Times New Roman"/>
          <w:b/>
          <w:sz w:val="24"/>
        </w:rPr>
        <w:t>diagnostic journals</w:t>
      </w:r>
      <w:r>
        <w:rPr>
          <w:rFonts w:ascii="Times New Roman" w:hAnsi="Times New Roman"/>
          <w:sz w:val="24"/>
        </w:rPr>
        <w:t xml:space="preserve"> or reflection logs, where learners document their reasoning, solutions attempted, outcomes, and insights from diagnostic experiences; </w:t>
      </w:r>
      <w:r>
        <w:rPr>
          <w:rFonts w:ascii="Times New Roman" w:hAnsi="Times New Roman"/>
          <w:b/>
          <w:sz w:val="24"/>
        </w:rPr>
        <w:t>peer feedback and collaborative troubleshooting</w:t>
      </w:r>
      <w:r>
        <w:rPr>
          <w:rFonts w:ascii="Times New Roman" w:hAnsi="Times New Roman"/>
          <w:sz w:val="24"/>
        </w:rPr>
        <w:t xml:space="preserve">, where learners work in teams on diagnostic scenarios, articulate reasoning to peers, and receive constructive feedback; </w:t>
      </w:r>
      <w:r>
        <w:rPr>
          <w:rFonts w:ascii="Times New Roman" w:hAnsi="Times New Roman"/>
          <w:b/>
          <w:sz w:val="24"/>
        </w:rPr>
        <w:t>instructor coaching and questioning</w:t>
      </w:r>
      <w:r>
        <w:rPr>
          <w:rFonts w:ascii="Times New Roman" w:hAnsi="Times New Roman"/>
          <w:sz w:val="24"/>
        </w:rPr>
        <w:t xml:space="preserve">, where instructors use guided questioning to scaffold learner reasoning and help learners refine diagnostic hypotheses; and </w:t>
      </w:r>
      <w:r>
        <w:rPr>
          <w:rFonts w:ascii="Times New Roman" w:hAnsi="Times New Roman"/>
          <w:b/>
          <w:sz w:val="24"/>
        </w:rPr>
        <w:t>think-aloud troubleshooting</w:t>
      </w:r>
      <w:r>
        <w:rPr>
          <w:rFonts w:ascii="Times New Roman" w:hAnsi="Times New Roman"/>
          <w:sz w:val="24"/>
        </w:rPr>
        <w:t>, where learners verbalize their diagnostic reasoning while an instructor listens and identifies misconceptions or gaps. These formative methods are particularly valuable because they occur while learning is occurring. Learners receive immediate or near-immediate feedback that allows them to adjust their reasoning, test revised approaches, and consolidate understanding. Importantly, formative assessment reveals diagnostic reasoning processes—not just outcomes—allowing instructors to identify whether learners are developing sound diagnostic logic or simply guessing. Simulator analytics are particularly powerful in this regard because they create permanent, detailed records of every decision, hypothesis test, and reasoning path a learner pursues. This data provides evidence of learning processes that would be impossible to observe in real time, enabling instructors to coach learning and provide targeted feedback at high granularity. Formative assessment also normalizes the reality that learning involves struggle, uncertainty, and iterative refinement. Learners who experience formative feedback early and frequently are better prepared psychologically for the ambiguous, high-stakes diagnostic challenges of professional work.</w:t>
      </w:r>
    </w:p>
    <w:p>
      <w:pPr>
        <w:spacing w:line="480" w:lineRule="auto"/>
        <w:ind w:firstLine="720"/>
      </w:pPr>
      <w:r>
        <w:rPr>
          <w:rFonts w:ascii="Times New Roman" w:hAnsi="Times New Roman"/>
          <w:b/>
          <w:sz w:val="24"/>
        </w:rPr>
        <w:t>Summative Assessment: Determining Competency Achievement</w:t>
      </w:r>
    </w:p>
    <w:p>
      <w:pPr>
        <w:spacing w:line="480" w:lineRule="auto"/>
        <w:ind w:firstLine="720"/>
      </w:pPr>
      <w:r>
        <w:rPr>
          <w:rFonts w:ascii="Times New Roman" w:hAnsi="Times New Roman"/>
          <w:sz w:val="24"/>
        </w:rPr>
        <w:t xml:space="preserve">Summative assessment occurs at the conclusion of a learning unit, course, or program and determines whether competency has been achieved. Summative assessments are often high-stakes—performance determines grades, course completion, credential attainment, and program progression. Effective summative assessment for automotive competency includes: </w:t>
      </w:r>
      <w:r>
        <w:rPr>
          <w:rFonts w:ascii="Times New Roman" w:hAnsi="Times New Roman"/>
          <w:b/>
          <w:sz w:val="24"/>
        </w:rPr>
        <w:t>comprehensive diagnostic scenarios</w:t>
      </w:r>
      <w:r>
        <w:rPr>
          <w:rFonts w:ascii="Times New Roman" w:hAnsi="Times New Roman"/>
          <w:sz w:val="24"/>
        </w:rPr>
        <w:t xml:space="preserve">, where learners are presented with complex electrical problems that require integrating multiple competencies (diagnostic reasoning, electrical analysis, safe practices, documentation, communication); </w:t>
      </w:r>
      <w:r>
        <w:rPr>
          <w:rFonts w:ascii="Times New Roman" w:hAnsi="Times New Roman"/>
          <w:b/>
          <w:sz w:val="24"/>
        </w:rPr>
        <w:t>authentic repair scenarios</w:t>
      </w:r>
      <w:r>
        <w:rPr>
          <w:rFonts w:ascii="Times New Roman" w:hAnsi="Times New Roman"/>
          <w:sz w:val="24"/>
        </w:rPr>
        <w:t xml:space="preserve">, where learners diagnose actual or high-fidelity simulated vehicle electrical problems and must make real repair recommendations; </w:t>
      </w:r>
      <w:r>
        <w:rPr>
          <w:rFonts w:ascii="Times New Roman" w:hAnsi="Times New Roman"/>
          <w:b/>
          <w:sz w:val="24"/>
        </w:rPr>
        <w:t>practical examinations</w:t>
      </w:r>
      <w:r>
        <w:rPr>
          <w:rFonts w:ascii="Times New Roman" w:hAnsi="Times New Roman"/>
          <w:sz w:val="24"/>
        </w:rPr>
        <w:t xml:space="preserve">, where learners demonstrate technical skills and reasoning under structured conditions with clear evaluation criteria; </w:t>
      </w:r>
      <w:r>
        <w:rPr>
          <w:rFonts w:ascii="Times New Roman" w:hAnsi="Times New Roman"/>
          <w:b/>
          <w:sz w:val="24"/>
        </w:rPr>
        <w:t>written technical documentation</w:t>
      </w:r>
      <w:r>
        <w:rPr>
          <w:rFonts w:ascii="Times New Roman" w:hAnsi="Times New Roman"/>
          <w:sz w:val="24"/>
        </w:rPr>
        <w:t xml:space="preserve">, where learners produce professional diagnostic reports that explain findings, justify recommendations, and demonstrate communication proficiency; and </w:t>
      </w:r>
      <w:r>
        <w:rPr>
          <w:rFonts w:ascii="Times New Roman" w:hAnsi="Times New Roman"/>
          <w:b/>
          <w:sz w:val="24"/>
        </w:rPr>
        <w:t>oral defense of diagnostic decisions</w:t>
      </w:r>
      <w:r>
        <w:rPr>
          <w:rFonts w:ascii="Times New Roman" w:hAnsi="Times New Roman"/>
          <w:sz w:val="24"/>
        </w:rPr>
        <w:t>, where learners explain their diagnostic reasoning to an instructor or panel, demonstrating the reasoning processes that support their conclusions. Critically, summative assessment should integrate multiple competencies rather than isolating them. A meaningful summative automotive assessment does not ask "Can the student explain voltage?" (isolated knowledge); instead, it asks "Can the student diagnose a complex electrical fault, explain the electrical principles supporting their diagnosis, document findings professionally, and justify recommendations to a supervisor?" This integrated approach better reflects workplace reality and provides stronger evidence of competency than compartmentalized assessment.</w:t>
      </w:r>
    </w:p>
    <w:p>
      <w:pPr>
        <w:spacing w:line="480" w:lineRule="auto"/>
        <w:ind w:firstLine="720"/>
      </w:pPr>
      <w:r>
        <w:rPr>
          <w:rFonts w:ascii="Times New Roman" w:hAnsi="Times New Roman"/>
          <w:b/>
          <w:sz w:val="24"/>
        </w:rPr>
        <w:t>Authentic Performance Assessment: The Heart of Competency Evidence</w:t>
      </w:r>
    </w:p>
    <w:p>
      <w:pPr>
        <w:spacing w:line="480" w:lineRule="auto"/>
        <w:ind w:firstLine="720"/>
      </w:pPr>
      <w:r>
        <w:rPr>
          <w:rFonts w:ascii="Times New Roman" w:hAnsi="Times New Roman"/>
          <w:sz w:val="24"/>
        </w:rPr>
        <w:t xml:space="preserve">Authentic performance assessment occurs in contexts that closely approximate workplace reality. For automotive technology, this means assessment in actual service environments or high-fidelity simulations where learners engage with complex, realistic diagnostic problems and face real consequences for diagnostic decisions. The </w:t>
      </w:r>
      <w:r>
        <w:rPr>
          <w:rFonts w:ascii="Times New Roman" w:hAnsi="Times New Roman"/>
          <w:b/>
          <w:sz w:val="24"/>
        </w:rPr>
        <w:t>Car Diagnosis Simulator</w:t>
      </w:r>
      <w:r>
        <w:rPr>
          <w:rFonts w:ascii="Times New Roman" w:hAnsi="Times New Roman"/>
          <w:sz w:val="24"/>
        </w:rPr>
        <w:t xml:space="preserve"> is a particularly valuable authentic assessment tool because it: replicates the complexity, ambiguity, and time pressure of real service department diagnostics; provides realistic electrical faults that require systematic reasoning rather than procedure following; generates immediate feedback about diagnostic accuracy, allowing learners to recognize mistakes and revise approaches; creates permanent, machine-readable records of diagnostic processes enabling objective evaluation of reasoning quality; and allows repeated practice with diverse scenarios without the expense and safety concerns of live vehicles. Authentic performance assessment in the simulator includes multiple elements: </w:t>
      </w:r>
      <w:r>
        <w:rPr>
          <w:rFonts w:ascii="Times New Roman" w:hAnsi="Times New Roman"/>
          <w:b/>
          <w:sz w:val="24"/>
        </w:rPr>
        <w:t>decision sequences</w:t>
      </w:r>
      <w:r>
        <w:rPr>
          <w:rFonts w:ascii="Times New Roman" w:hAnsi="Times New Roman"/>
          <w:sz w:val="24"/>
        </w:rPr>
        <w:t xml:space="preserve">, where instructors evaluate whether learners approach diagnosis systematically or haphazardly; </w:t>
      </w:r>
      <w:r>
        <w:rPr>
          <w:rFonts w:ascii="Times New Roman" w:hAnsi="Times New Roman"/>
          <w:b/>
          <w:sz w:val="24"/>
        </w:rPr>
        <w:t>diagnostic accuracy</w:t>
      </w:r>
      <w:r>
        <w:rPr>
          <w:rFonts w:ascii="Times New Roman" w:hAnsi="Times New Roman"/>
          <w:sz w:val="24"/>
        </w:rPr>
        <w:t xml:space="preserve">, where correct identification of electrical faults and root causes is measured; </w:t>
      </w:r>
      <w:r>
        <w:rPr>
          <w:rFonts w:ascii="Times New Roman" w:hAnsi="Times New Roman"/>
          <w:b/>
          <w:sz w:val="24"/>
        </w:rPr>
        <w:t>evidence-based reasoning</w:t>
      </w:r>
      <w:r>
        <w:rPr>
          <w:rFonts w:ascii="Times New Roman" w:hAnsi="Times New Roman"/>
          <w:sz w:val="24"/>
        </w:rPr>
        <w:t xml:space="preserve">, where learners demonstrate that conclusions are grounded in diagnostic data rather than guessing; </w:t>
      </w:r>
      <w:r>
        <w:rPr>
          <w:rFonts w:ascii="Times New Roman" w:hAnsi="Times New Roman"/>
          <w:b/>
          <w:sz w:val="24"/>
        </w:rPr>
        <w:t>safe practices</w:t>
      </w:r>
      <w:r>
        <w:rPr>
          <w:rFonts w:ascii="Times New Roman" w:hAnsi="Times New Roman"/>
          <w:sz w:val="24"/>
        </w:rPr>
        <w:t xml:space="preserve">, where adherence to proper electrical safety procedures is observed and evaluated; </w:t>
      </w:r>
      <w:r>
        <w:rPr>
          <w:rFonts w:ascii="Times New Roman" w:hAnsi="Times New Roman"/>
          <w:b/>
          <w:sz w:val="24"/>
        </w:rPr>
        <w:t>time management</w:t>
      </w:r>
      <w:r>
        <w:rPr>
          <w:rFonts w:ascii="Times New Roman" w:hAnsi="Times New Roman"/>
          <w:sz w:val="24"/>
        </w:rPr>
        <w:t xml:space="preserve">, where learners' efficiency at problem-solving is assessed; </w:t>
      </w:r>
      <w:r>
        <w:rPr>
          <w:rFonts w:ascii="Times New Roman" w:hAnsi="Times New Roman"/>
          <w:b/>
          <w:sz w:val="24"/>
        </w:rPr>
        <w:t>communication</w:t>
      </w:r>
      <w:r>
        <w:rPr>
          <w:rFonts w:ascii="Times New Roman" w:hAnsi="Times New Roman"/>
          <w:sz w:val="24"/>
        </w:rPr>
        <w:t xml:space="preserve">, where learners articulate findings, discuss reasoning, and respond to questions about their diagnostic approach; and </w:t>
      </w:r>
      <w:r>
        <w:rPr>
          <w:rFonts w:ascii="Times New Roman" w:hAnsi="Times New Roman"/>
          <w:b/>
          <w:sz w:val="24"/>
        </w:rPr>
        <w:t>professional documentation</w:t>
      </w:r>
      <w:r>
        <w:rPr>
          <w:rFonts w:ascii="Times New Roman" w:hAnsi="Times New Roman"/>
          <w:sz w:val="24"/>
        </w:rPr>
        <w:t xml:space="preserve">, where learners produce written reports translating technical findings into customer-accessible language. Beyond the simulator, authentic assessment includes </w:t>
      </w:r>
      <w:r>
        <w:rPr>
          <w:rFonts w:ascii="Times New Roman" w:hAnsi="Times New Roman"/>
          <w:b/>
          <w:sz w:val="24"/>
        </w:rPr>
        <w:t>workplace-embedded assessment</w:t>
      </w:r>
      <w:r>
        <w:rPr>
          <w:rFonts w:ascii="Times New Roman" w:hAnsi="Times New Roman"/>
          <w:sz w:val="24"/>
        </w:rPr>
        <w:t>, where learners are evaluated during actual diagnostic work in internships, apprenticeships, or employment settings. This real-world assessment provides irreplaceable evidence of how competencies transfer to genuine workplace contexts. Authentic performance assessment is superior to traditional testing in several ways: it measures integrated competency rather than isolated knowledge; it reveals reasoning processes not just outcomes; it mirrors the conditions under which competency will actually be required; and it is inherently motivating because learners understand that assessment reflects genuine professional demands. Furthermore, authentic assessment builds confidence: learners who repeatedly succeed at complex, realistic diagnostic challenges develop the self-efficacy and resilience necessary for workplace success.</w:t>
      </w:r>
    </w:p>
    <w:p>
      <w:pPr>
        <w:spacing w:line="480" w:lineRule="auto"/>
        <w:ind w:firstLine="720"/>
      </w:pPr>
      <w:r>
        <w:rPr>
          <w:rFonts w:ascii="Times New Roman" w:hAnsi="Times New Roman"/>
          <w:b/>
          <w:sz w:val="24"/>
        </w:rPr>
        <w:t>Assessment Data Integration: Creating a Multidimensional Picture of Competency</w:t>
      </w:r>
    </w:p>
    <w:p>
      <w:pPr>
        <w:spacing w:line="480" w:lineRule="auto"/>
        <w:ind w:firstLine="720"/>
      </w:pPr>
      <w:r>
        <w:rPr>
          <w:rFonts w:ascii="Times New Roman" w:hAnsi="Times New Roman"/>
          <w:sz w:val="24"/>
        </w:rPr>
        <w:t xml:space="preserve">No single assessment method completely captures competency. A learner might perform well on written exams but struggle with hands-on diagnostics. Another might excel in simulator work but produce unclear written documentation. A third might demonstrate strong reasoning in one-on-one coaching but hesitate when working independently. Comprehensive assessment requires integration of evidence from multiple sources. Instructors should systematically combine data from: </w:t>
      </w:r>
      <w:r>
        <w:rPr>
          <w:rFonts w:ascii="Times New Roman" w:hAnsi="Times New Roman"/>
          <w:b/>
          <w:sz w:val="24"/>
        </w:rPr>
        <w:t>simulator analytics</w:t>
      </w:r>
      <w:r>
        <w:rPr>
          <w:rFonts w:ascii="Times New Roman" w:hAnsi="Times New Roman"/>
          <w:sz w:val="24"/>
        </w:rPr>
        <w:t xml:space="preserve"> (decision sequences, diagnostic accuracy, time patterns); </w:t>
      </w:r>
      <w:r>
        <w:rPr>
          <w:rFonts w:ascii="Times New Roman" w:hAnsi="Times New Roman"/>
          <w:b/>
          <w:sz w:val="24"/>
        </w:rPr>
        <w:t>instructor observations</w:t>
      </w:r>
      <w:r>
        <w:rPr>
          <w:rFonts w:ascii="Times New Roman" w:hAnsi="Times New Roman"/>
          <w:sz w:val="24"/>
        </w:rPr>
        <w:t xml:space="preserve"> of learners working on authentic problems; </w:t>
      </w:r>
      <w:r>
        <w:rPr>
          <w:rFonts w:ascii="Times New Roman" w:hAnsi="Times New Roman"/>
          <w:b/>
          <w:sz w:val="24"/>
        </w:rPr>
        <w:t>practical examinations</w:t>
      </w:r>
      <w:r>
        <w:rPr>
          <w:rFonts w:ascii="Times New Roman" w:hAnsi="Times New Roman"/>
          <w:sz w:val="24"/>
        </w:rPr>
        <w:t xml:space="preserve"> and performance tasks; </w:t>
      </w:r>
      <w:r>
        <w:rPr>
          <w:rFonts w:ascii="Times New Roman" w:hAnsi="Times New Roman"/>
          <w:b/>
          <w:sz w:val="24"/>
        </w:rPr>
        <w:t>written work samples</w:t>
      </w:r>
      <w:r>
        <w:rPr>
          <w:rFonts w:ascii="Times New Roman" w:hAnsi="Times New Roman"/>
          <w:sz w:val="24"/>
        </w:rPr>
        <w:t xml:space="preserve"> including diagnostic reports and technical documentation; </w:t>
      </w:r>
      <w:r>
        <w:rPr>
          <w:rFonts w:ascii="Times New Roman" w:hAnsi="Times New Roman"/>
          <w:b/>
          <w:sz w:val="24"/>
        </w:rPr>
        <w:t>reflection journals</w:t>
      </w:r>
      <w:r>
        <w:rPr>
          <w:rFonts w:ascii="Times New Roman" w:hAnsi="Times New Roman"/>
          <w:sz w:val="24"/>
        </w:rPr>
        <w:t xml:space="preserve"> capturing learners' self-assessment and learning insights; </w:t>
      </w:r>
      <w:r>
        <w:rPr>
          <w:rFonts w:ascii="Times New Roman" w:hAnsi="Times New Roman"/>
          <w:b/>
          <w:sz w:val="24"/>
        </w:rPr>
        <w:t>peer collaboration and feedback</w:t>
      </w:r>
      <w:r>
        <w:rPr>
          <w:rFonts w:ascii="Times New Roman" w:hAnsi="Times New Roman"/>
          <w:sz w:val="24"/>
        </w:rPr>
        <w:t xml:space="preserve"> from team-based diagnostic activities; and </w:t>
      </w:r>
      <w:r>
        <w:rPr>
          <w:rFonts w:ascii="Times New Roman" w:hAnsi="Times New Roman"/>
          <w:b/>
          <w:sz w:val="24"/>
        </w:rPr>
        <w:t>workplace evaluations</w:t>
      </w:r>
      <w:r>
        <w:rPr>
          <w:rFonts w:ascii="Times New Roman" w:hAnsi="Times New Roman"/>
          <w:sz w:val="24"/>
        </w:rPr>
        <w:t xml:space="preserve"> when available. This integrated evidence creates a more valid picture of competency than any single source. For example, if a learner demonstrates consistent diagnostic accuracy in simulator work and practical exams, produces clear technical documentation, and receives positive supervisor feedback during workplace assessment, the convergent evidence strongly supports a judgment that competency has been achieved. Conversely, if a learner passes written exams but struggles with authentic diagnostic reasoning in simulators and receives concerning workplace feedback, the divergent evidence signals that additional support or instruction is needed despite academic success. Importantly, AI-supported simulators enhance this integration by providing detailed, objective data about reasoning processes that complement instructor observations and work products. This combination of machine-generated analytics and human judgment creates assessment that is both objective and interpretively rich.</w:t>
      </w:r>
    </w:p>
    <w:p>
      <w:pPr>
        <w:spacing w:line="480" w:lineRule="auto"/>
        <w:ind w:firstLine="720"/>
      </w:pPr>
      <w:r>
        <w:rPr>
          <w:rFonts w:ascii="Times New Roman" w:hAnsi="Times New Roman"/>
          <w:b/>
          <w:sz w:val="24"/>
        </w:rPr>
        <w:t>Reliability, Validity, and Fairness in Competency Assessment</w:t>
      </w:r>
    </w:p>
    <w:p>
      <w:pPr>
        <w:spacing w:line="480" w:lineRule="auto"/>
        <w:ind w:firstLine="720"/>
      </w:pPr>
      <w:r>
        <w:rPr>
          <w:rFonts w:ascii="Times New Roman" w:hAnsi="Times New Roman"/>
          <w:sz w:val="24"/>
        </w:rPr>
        <w:t xml:space="preserve">Competency-based assessment must be reliable, valid, and fair to produce defensible judgments about workforce readiness. </w:t>
      </w:r>
      <w:r>
        <w:rPr>
          <w:rFonts w:ascii="Times New Roman" w:hAnsi="Times New Roman"/>
          <w:b/>
          <w:sz w:val="24"/>
        </w:rPr>
        <w:t>Reliability</w:t>
      </w:r>
      <w:r>
        <w:rPr>
          <w:rFonts w:ascii="Times New Roman" w:hAnsi="Times New Roman"/>
          <w:sz w:val="24"/>
        </w:rPr>
        <w:t xml:space="preserve"> means assessment produces consistent results: if a learner demonstrates competency on one diagnostic scenario, they should demonstrate similar competency on comparable scenarios. Reliability is enhanced through: clearly defined rubrics with specific, observable criteria; standardized assessment conditions and prompts; training assessors to apply criteria consistently; and multiple assessors evaluating the same work to identify inter-rater agreement. In automotive technology, rubrics should specify exactly what diagnostic reasoning looks like at different competency levels, what constitutes safe practice, what professional communication should include, and what evidence supports mastery judgments. </w:t>
      </w:r>
      <w:r>
        <w:rPr>
          <w:rFonts w:ascii="Times New Roman" w:hAnsi="Times New Roman"/>
          <w:b/>
          <w:sz w:val="24"/>
        </w:rPr>
        <w:t>Validity</w:t>
      </w:r>
      <w:r>
        <w:rPr>
          <w:rFonts w:ascii="Times New Roman" w:hAnsi="Times New Roman"/>
          <w:sz w:val="24"/>
        </w:rPr>
        <w:t xml:space="preserve"> means assessment actually measures the competency it claims to measure. Traditional written exams about electrical theory have limited validity for predicting workplace diagnostic success because they do not measure diagnostic reasoning, judgment, or transfer. Authentic performance assessments have higher validity because they directly evaluate the reasoning and problem-solving that technicians perform professionally. Validity is enhanced by: aligning assessment directly with competency definitions; including multiple competencies in assessment so that transfer is observable; using assessment conditions that approximate workplace reality; and collecting evidence that directly answers the question "Can the learner perform this competency in workplace contexts?" </w:t>
      </w:r>
      <w:r>
        <w:rPr>
          <w:rFonts w:ascii="Times New Roman" w:hAnsi="Times New Roman"/>
          <w:b/>
          <w:sz w:val="24"/>
        </w:rPr>
        <w:t>Fairness</w:t>
      </w:r>
      <w:r>
        <w:rPr>
          <w:rFonts w:ascii="Times New Roman" w:hAnsi="Times New Roman"/>
          <w:sz w:val="24"/>
        </w:rPr>
        <w:t xml:space="preserve"> means assessment does not systematically disadvantage learners based on factors unrelated to competency. Assessment methods should be culturally responsive, accessible to learners with diverse learning needs, and clear in expectations (Almeqdad et al., 2023). For example, written exams may disadvantage learners with language barriers; this does not mean language proficiency is a professional competency, so assessment should allow alternative demonstration (oral explanation, visual annotation) of technical competency. Fairness also requires that assessment accommodations be available without stigma, and that evaluation criteria focus on professional competency rather than stylistic preferences. When assessment is reliable, valid, and fair, competency judgments become defensible: educators can confidently explain to learners, employers, and program reviewers why they believe a learner has or has not achieved workforce-ready competency.</w:t>
      </w:r>
    </w:p>
    <w:p>
      <w:pPr>
        <w:spacing w:line="480" w:lineRule="auto"/>
        <w:ind w:firstLine="720"/>
      </w:pPr>
      <w:r>
        <w:rPr>
          <w:rFonts w:ascii="Times New Roman" w:hAnsi="Times New Roman"/>
          <w:b/>
          <w:sz w:val="24"/>
        </w:rPr>
        <w:t>Transition to Skill Mastery Evaluation</w:t>
      </w:r>
    </w:p>
    <w:p>
      <w:pPr>
        <w:spacing w:line="480" w:lineRule="auto"/>
        <w:ind w:firstLine="720"/>
      </w:pPr>
      <w:r>
        <w:rPr>
          <w:rFonts w:ascii="Times New Roman" w:hAnsi="Times New Roman"/>
          <w:sz w:val="24"/>
        </w:rPr>
        <w:t xml:space="preserve">Assessment methods provide rich, multidimensional evidence of learner performance. Formative assessment guides learning; summative and authentic performance assessments demonstrate competency under realistic conditions; integrated data from multiple sources creates validity; and carefully designed rubrics ensure reliability and fairness. Yet evidence collection alone does not answer the final critical question: </w:t>
      </w:r>
      <w:r>
        <w:rPr>
          <w:rFonts w:ascii="Times New Roman" w:hAnsi="Times New Roman"/>
          <w:i/>
          <w:sz w:val="24"/>
        </w:rPr>
        <w:t>When is there sufficient evidence to conclude that competency has been achieved?</w:t>
      </w:r>
      <w:r>
        <w:rPr>
          <w:rFonts w:ascii="Times New Roman" w:hAnsi="Times New Roman"/>
          <w:sz w:val="24"/>
        </w:rPr>
        <w:t xml:space="preserve"> This requires clearly defined mastery criteria, performance standards, and evaluation rubrics that translate assessment evidence into defensible judgments regarding workforce readiness. The following section examines how skill mastery is evaluated through competency-based performance standards and how educators determine that learners are genuinely prepared for professional automotive employment.</w:t>
      </w:r>
    </w:p>
    <w:p>
      <w:pPr>
        <w:spacing w:line="480" w:lineRule="auto"/>
        <w:ind w:firstLine="720"/>
      </w:pPr>
      <w:r>
        <w:rPr>
          <w:rFonts w:ascii="Times New Roman" w:hAnsi="Times New Roman"/>
          <w:b/>
          <w:sz w:val="24"/>
        </w:rPr>
        <w:t>Skill Mastery Evaluation</w:t>
      </w:r>
    </w:p>
    <w:p>
      <w:pPr>
        <w:spacing w:line="480" w:lineRule="auto"/>
        <w:ind w:firstLine="720"/>
      </w:pPr>
      <w:r>
        <w:rPr>
          <w:rFonts w:ascii="Times New Roman" w:hAnsi="Times New Roman"/>
          <w:b/>
          <w:sz w:val="24"/>
        </w:rPr>
        <w:t>Defining Mastery</w:t>
      </w:r>
    </w:p>
    <w:p>
      <w:pPr>
        <w:spacing w:line="480" w:lineRule="auto"/>
        <w:ind w:firstLine="720"/>
      </w:pPr>
      <w:r>
        <w:rPr>
          <w:rFonts w:ascii="Times New Roman" w:hAnsi="Times New Roman"/>
          <w:sz w:val="24"/>
        </w:rPr>
        <w:t xml:space="preserve">Educational programs use several related but distinct terms—completion, proficiency, competency, and mastery—often imprecisely. </w:t>
      </w:r>
      <w:r>
        <w:rPr>
          <w:rFonts w:ascii="Times New Roman" w:hAnsi="Times New Roman"/>
          <w:b/>
          <w:sz w:val="24"/>
        </w:rPr>
        <w:t>Completion</w:t>
      </w:r>
      <w:r>
        <w:rPr>
          <w:rFonts w:ascii="Times New Roman" w:hAnsi="Times New Roman"/>
          <w:sz w:val="24"/>
        </w:rPr>
        <w:t xml:space="preserve"> means a learner has finished coursework or a program; it does not indicate what the learner can actually do. </w:t>
      </w:r>
      <w:r>
        <w:rPr>
          <w:rFonts w:ascii="Times New Roman" w:hAnsi="Times New Roman"/>
          <w:b/>
          <w:sz w:val="24"/>
        </w:rPr>
        <w:t>Proficiency</w:t>
      </w:r>
      <w:r>
        <w:rPr>
          <w:rFonts w:ascii="Times New Roman" w:hAnsi="Times New Roman"/>
          <w:sz w:val="24"/>
        </w:rPr>
        <w:t xml:space="preserve"> indicates a learner has achieved a threshold level of performance; the threshold may vary widely depending on program standards. </w:t>
      </w:r>
      <w:r>
        <w:rPr>
          <w:rFonts w:ascii="Times New Roman" w:hAnsi="Times New Roman"/>
          <w:b/>
          <w:sz w:val="24"/>
        </w:rPr>
        <w:t>Competency</w:t>
      </w:r>
      <w:r>
        <w:rPr>
          <w:rFonts w:ascii="Times New Roman" w:hAnsi="Times New Roman"/>
          <w:sz w:val="24"/>
        </w:rPr>
        <w:t xml:space="preserve"> represents integrated capability to perform professionally relevant tasks; as established earlier in this paper, competency encompasses knowledge, skills, reasoning, judgment, and professional behavior applied simultaneously. </w:t>
      </w:r>
      <w:r>
        <w:rPr>
          <w:rFonts w:ascii="Times New Roman" w:hAnsi="Times New Roman"/>
          <w:b/>
          <w:sz w:val="24"/>
        </w:rPr>
        <w:t>Mastery</w:t>
      </w:r>
      <w:r>
        <w:rPr>
          <w:rFonts w:ascii="Times New Roman" w:hAnsi="Times New Roman"/>
          <w:sz w:val="24"/>
        </w:rPr>
        <w:t xml:space="preserve"> represents the highest level of demonstrated competency: learners consistently demonstrate integrated knowledge, technical skills, diagnostic reasoning, professional judgment, and communication under authentic conditions with minimal scaffolding. Mastery does not mean perfection—no technician solves every problem flawlessly—but rather that learners have developed sufficient capability, confidence, and resilience to enter employment and continue learning in professional roles. The distinction between completion and mastery is particularly critical in career and technical education. A learner might complete all coursework, attend all classes, and pass written exams yet lack mastery of applied competencies. Conversely, a learner who truly demonstrates mastery has proven through multiple authentic assessments that they are ready for independent professional work. Determining mastery therefore requires more than transcript review; it requires synthesis of evidence from authentic performance assessments conducted under conditions that approximate workplace reality.</w:t>
      </w:r>
    </w:p>
    <w:p>
      <w:pPr>
        <w:spacing w:line="480" w:lineRule="auto"/>
        <w:ind w:firstLine="720"/>
      </w:pPr>
      <w:r>
        <w:rPr>
          <w:rFonts w:ascii="Times New Roman" w:hAnsi="Times New Roman"/>
          <w:b/>
          <w:sz w:val="24"/>
        </w:rPr>
        <w:t>Competency Rubrics: Transparent Standards for Mastery</w:t>
      </w:r>
    </w:p>
    <w:p>
      <w:pPr>
        <w:spacing w:line="480" w:lineRule="auto"/>
        <w:ind w:firstLine="720"/>
      </w:pPr>
      <w:r>
        <w:rPr>
          <w:rFonts w:ascii="Times New Roman" w:hAnsi="Times New Roman"/>
          <w:sz w:val="24"/>
        </w:rPr>
        <w:t xml:space="preserve">Rubrics translate competency definitions into observable, evaluable performance standards. Rather than assigning simple point scores (10/10, 85%, pass/fail), analytic rubrics evaluate multiple dimensions of performance, allowing detailed feedback and more nuanced mastery determination. An effective competency rubric for automotive diagnostic tasks should evaluate dimensions aligned with the seven core competencies established earlier: </w:t>
      </w:r>
      <w:r>
        <w:rPr>
          <w:rFonts w:ascii="Times New Roman" w:hAnsi="Times New Roman"/>
          <w:b/>
          <w:sz w:val="24"/>
        </w:rPr>
        <w:t>Diagnostic Reasoning</w:t>
      </w:r>
      <w:r>
        <w:rPr>
          <w:rFonts w:ascii="Times New Roman" w:hAnsi="Times New Roman"/>
          <w:sz w:val="24"/>
        </w:rPr>
        <w:t xml:space="preserve"> (Did the learner systematically narrow possibilities? Did reasoning follow logical electrical principles? Did the learner form and test hypotheses?); </w:t>
      </w:r>
      <w:r>
        <w:rPr>
          <w:rFonts w:ascii="Times New Roman" w:hAnsi="Times New Roman"/>
          <w:b/>
          <w:sz w:val="24"/>
        </w:rPr>
        <w:t>Evidence Collection</w:t>
      </w:r>
      <w:r>
        <w:rPr>
          <w:rFonts w:ascii="Times New Roman" w:hAnsi="Times New Roman"/>
          <w:sz w:val="24"/>
        </w:rPr>
        <w:t xml:space="preserve"> (Did the learner gather sufficient diagnostic data? Did the learner test critical points systematically rather than randomly?); </w:t>
      </w:r>
      <w:r>
        <w:rPr>
          <w:rFonts w:ascii="Times New Roman" w:hAnsi="Times New Roman"/>
          <w:b/>
          <w:sz w:val="24"/>
        </w:rPr>
        <w:t>Technical Accuracy</w:t>
      </w:r>
      <w:r>
        <w:rPr>
          <w:rFonts w:ascii="Times New Roman" w:hAnsi="Times New Roman"/>
          <w:sz w:val="24"/>
        </w:rPr>
        <w:t xml:space="preserve"> (Was the electrical fault correctly identified? Was the root cause accurately determined? Were recommendations technically sound?); </w:t>
      </w:r>
      <w:r>
        <w:rPr>
          <w:rFonts w:ascii="Times New Roman" w:hAnsi="Times New Roman"/>
          <w:b/>
          <w:sz w:val="24"/>
        </w:rPr>
        <w:t>Safe Practice</w:t>
      </w:r>
      <w:r>
        <w:rPr>
          <w:rFonts w:ascii="Times New Roman" w:hAnsi="Times New Roman"/>
          <w:sz w:val="24"/>
        </w:rPr>
        <w:t xml:space="preserve"> (Did the learner follow electrical safety procedures? Did the learner use tools correctly? Were proper precautions taken?); </w:t>
      </w:r>
      <w:r>
        <w:rPr>
          <w:rFonts w:ascii="Times New Roman" w:hAnsi="Times New Roman"/>
          <w:b/>
          <w:sz w:val="24"/>
        </w:rPr>
        <w:t>Documentation Quality</w:t>
      </w:r>
      <w:r>
        <w:rPr>
          <w:rFonts w:ascii="Times New Roman" w:hAnsi="Times New Roman"/>
          <w:sz w:val="24"/>
        </w:rPr>
        <w:t xml:space="preserve"> (Were findings clearly documented? Was technical language appropriate for intended audience? Was reasoning explained?); </w:t>
      </w:r>
      <w:r>
        <w:rPr>
          <w:rFonts w:ascii="Times New Roman" w:hAnsi="Times New Roman"/>
          <w:b/>
          <w:sz w:val="24"/>
        </w:rPr>
        <w:t>Communication and Professionalism</w:t>
      </w:r>
      <w:r>
        <w:rPr>
          <w:rFonts w:ascii="Times New Roman" w:hAnsi="Times New Roman"/>
          <w:sz w:val="24"/>
        </w:rPr>
        <w:t xml:space="preserve"> (Did the learner explain findings clearly? Could the learner articulate reasoning? Was communication professional and respectful?); and </w:t>
      </w:r>
      <w:r>
        <w:rPr>
          <w:rFonts w:ascii="Times New Roman" w:hAnsi="Times New Roman"/>
          <w:b/>
          <w:sz w:val="24"/>
        </w:rPr>
        <w:t>Reflective Practice</w:t>
      </w:r>
      <w:r>
        <w:rPr>
          <w:rFonts w:ascii="Times New Roman" w:hAnsi="Times New Roman"/>
          <w:sz w:val="24"/>
        </w:rPr>
        <w:t xml:space="preserve"> (Did the learner reflect on decisions? Did the learner identify learning or improvement areas?). Rather than simple ratings, rubrics should describe performance at different levels of mastery. For example, a diagnostic reasoning dimension might include: </w:t>
      </w:r>
      <w:r>
        <w:rPr>
          <w:rFonts w:ascii="Times New Roman" w:hAnsi="Times New Roman"/>
          <w:i/>
          <w:sz w:val="24"/>
        </w:rPr>
        <w:t>Novice: Diagnostic approach is unsystematic; learner tests components randomly without clear reasoning</w:t>
      </w:r>
      <w:r>
        <w:rPr>
          <w:rFonts w:ascii="Times New Roman" w:hAnsi="Times New Roman"/>
          <w:sz w:val="24"/>
        </w:rPr>
        <w:t xml:space="preserve">; </w:t>
      </w:r>
      <w:r>
        <w:rPr>
          <w:rFonts w:ascii="Times New Roman" w:hAnsi="Times New Roman"/>
          <w:i/>
          <w:sz w:val="24"/>
        </w:rPr>
        <w:t>Developing: Diagnostic approach shows some logic but includes inefficient or unnecessary tests; reasoning is partially explained</w:t>
      </w:r>
      <w:r>
        <w:rPr>
          <w:rFonts w:ascii="Times New Roman" w:hAnsi="Times New Roman"/>
          <w:sz w:val="24"/>
        </w:rPr>
        <w:t xml:space="preserve">; </w:t>
      </w:r>
      <w:r>
        <w:rPr>
          <w:rFonts w:ascii="Times New Roman" w:hAnsi="Times New Roman"/>
          <w:i/>
          <w:sz w:val="24"/>
        </w:rPr>
        <w:t>Proficient: Diagnostic approach is systematic and logical; tests target the most likely causes first; reasoning is clear and based on electrical principles</w:t>
      </w:r>
      <w:r>
        <w:rPr>
          <w:rFonts w:ascii="Times New Roman" w:hAnsi="Times New Roman"/>
          <w:sz w:val="24"/>
        </w:rPr>
        <w:t xml:space="preserve">; </w:t>
      </w:r>
      <w:r>
        <w:rPr>
          <w:rFonts w:ascii="Times New Roman" w:hAnsi="Times New Roman"/>
          <w:i/>
          <w:sz w:val="24"/>
        </w:rPr>
        <w:t>Mastery: Diagnostic approach is highly efficient and sophisticated; learner anticipates system interactions; reasoning integrates complex electrical concepts; learner adapts approach based on evidence.</w:t>
      </w:r>
      <w:r>
        <w:rPr>
          <w:rFonts w:ascii="Times New Roman" w:hAnsi="Times New Roman"/>
          <w:sz w:val="24"/>
        </w:rPr>
        <w:t xml:space="preserve"> This rubric design serves multiple purposes: it makes evaluation criteria explicit and transparent; it provides specific feedback that guides learner improvement; it enhances consistency across multiple evaluators; and it supports learner understanding of what mastery looks like before assessment occurs.</w:t>
      </w:r>
    </w:p>
    <w:p>
      <w:pPr>
        <w:spacing w:line="480" w:lineRule="auto"/>
        <w:ind w:firstLine="720"/>
      </w:pPr>
      <w:r>
        <w:rPr>
          <w:rFonts w:ascii="Times New Roman" w:hAnsi="Times New Roman"/>
          <w:b/>
          <w:sz w:val="24"/>
        </w:rPr>
        <w:t>Multiple Sources of Evidence in Mastery Determination</w:t>
      </w:r>
    </w:p>
    <w:p>
      <w:pPr>
        <w:spacing w:line="480" w:lineRule="auto"/>
        <w:ind w:firstLine="720"/>
      </w:pPr>
      <w:r>
        <w:rPr>
          <w:rFonts w:ascii="Times New Roman" w:hAnsi="Times New Roman"/>
          <w:sz w:val="24"/>
        </w:rPr>
        <w:t xml:space="preserve">No single assessment should determine whether mastery has been achieved. Such reliance on one data point creates false positives (learners who perform well in one context but cannot transfer competency) and false negatives (learners who struggle in particular assessment formats but demonstrate strong competency through other methods). Sound mastery determination requires synthesis of evidence from multiple sources. Instructors should systematically integrate: </w:t>
      </w:r>
      <w:r>
        <w:rPr>
          <w:rFonts w:ascii="Times New Roman" w:hAnsi="Times New Roman"/>
          <w:b/>
          <w:sz w:val="24"/>
        </w:rPr>
        <w:t>simulator analytics</w:t>
      </w:r>
      <w:r>
        <w:rPr>
          <w:rFonts w:ascii="Times New Roman" w:hAnsi="Times New Roman"/>
          <w:sz w:val="24"/>
        </w:rPr>
        <w:t xml:space="preserve">, which provide objective, detailed data on diagnostic decision sequences, efficiency, and accuracy across diverse scenarios; </w:t>
      </w:r>
      <w:r>
        <w:rPr>
          <w:rFonts w:ascii="Times New Roman" w:hAnsi="Times New Roman"/>
          <w:b/>
          <w:sz w:val="24"/>
        </w:rPr>
        <w:t>laboratory and hands-on observations</w:t>
      </w:r>
      <w:r>
        <w:rPr>
          <w:rFonts w:ascii="Times New Roman" w:hAnsi="Times New Roman"/>
          <w:sz w:val="24"/>
        </w:rPr>
        <w:t xml:space="preserve">, where instructors directly observe learners' technical skills, safety practices, and reasoning processes; </w:t>
      </w:r>
      <w:r>
        <w:rPr>
          <w:rFonts w:ascii="Times New Roman" w:hAnsi="Times New Roman"/>
          <w:b/>
          <w:sz w:val="24"/>
        </w:rPr>
        <w:t>authentic diagnostic tasks</w:t>
      </w:r>
      <w:r>
        <w:rPr>
          <w:rFonts w:ascii="Times New Roman" w:hAnsi="Times New Roman"/>
          <w:sz w:val="24"/>
        </w:rPr>
        <w:t xml:space="preserve">, where learners solve complex electrical problems under realistic time pressure and expectations; </w:t>
      </w:r>
      <w:r>
        <w:rPr>
          <w:rFonts w:ascii="Times New Roman" w:hAnsi="Times New Roman"/>
          <w:b/>
          <w:sz w:val="24"/>
        </w:rPr>
        <w:t>written diagnostic reports</w:t>
      </w:r>
      <w:r>
        <w:rPr>
          <w:rFonts w:ascii="Times New Roman" w:hAnsi="Times New Roman"/>
          <w:sz w:val="24"/>
        </w:rPr>
        <w:t xml:space="preserve">, which demonstrate documentation and communication competency; </w:t>
      </w:r>
      <w:r>
        <w:rPr>
          <w:rFonts w:ascii="Times New Roman" w:hAnsi="Times New Roman"/>
          <w:b/>
          <w:sz w:val="24"/>
        </w:rPr>
        <w:t>oral explanations and responses to questions</w:t>
      </w:r>
      <w:r>
        <w:rPr>
          <w:rFonts w:ascii="Times New Roman" w:hAnsi="Times New Roman"/>
          <w:sz w:val="24"/>
        </w:rPr>
        <w:t xml:space="preserve">, which reveal depth of reasoning and ability to articulate technical thinking; </w:t>
      </w:r>
      <w:r>
        <w:rPr>
          <w:rFonts w:ascii="Times New Roman" w:hAnsi="Times New Roman"/>
          <w:b/>
          <w:sz w:val="24"/>
        </w:rPr>
        <w:t>reflection journals and self-assessments</w:t>
      </w:r>
      <w:r>
        <w:rPr>
          <w:rFonts w:ascii="Times New Roman" w:hAnsi="Times New Roman"/>
          <w:sz w:val="24"/>
        </w:rPr>
        <w:t xml:space="preserve">, which show learners' metacognitive development and understanding of their own learning; and </w:t>
      </w:r>
      <w:r>
        <w:rPr>
          <w:rFonts w:ascii="Times New Roman" w:hAnsi="Times New Roman"/>
          <w:b/>
          <w:sz w:val="24"/>
        </w:rPr>
        <w:t>workplace or internship evaluations</w:t>
      </w:r>
      <w:r>
        <w:rPr>
          <w:rFonts w:ascii="Times New Roman" w:hAnsi="Times New Roman"/>
          <w:sz w:val="24"/>
        </w:rPr>
        <w:t>, which provide evidence of competency transfer to professional contexts. When evidence converges across multiple sources—a learner demonstrates strong diagnostic reasoning in simulators, receives positive instructor observations during hands-on work, produces clear written reports, articulates sound reasoning when questioned, and receives positive feedback from workplace supervisors—the convergent evidence provides strong validity for mastery determination. Conversely, when evidence diverges—a learner scores well on written exams but demonstrates weak diagnostic reasoning in authentic performance tasks, or excels in simulator work but produces unclear documentation—the divergent evidence signals that mastery has not yet been achieved and targeted instruction is needed. This multi-method approach is more labor-intensive than single assessments but produces far more defensible and accurate mastery judgments.</w:t>
      </w:r>
    </w:p>
    <w:p>
      <w:pPr>
        <w:spacing w:line="480" w:lineRule="auto"/>
        <w:ind w:firstLine="720"/>
      </w:pPr>
      <w:r>
        <w:rPr>
          <w:rFonts w:ascii="Times New Roman" w:hAnsi="Times New Roman"/>
          <w:b/>
          <w:sz w:val="24"/>
        </w:rPr>
        <w:t>Transparent Mastery Standards for Adult Learners</w:t>
      </w:r>
    </w:p>
    <w:p>
      <w:pPr>
        <w:spacing w:line="480" w:lineRule="auto"/>
        <w:ind w:firstLine="720"/>
      </w:pPr>
      <w:r>
        <w:rPr>
          <w:rFonts w:ascii="Times New Roman" w:hAnsi="Times New Roman"/>
          <w:sz w:val="24"/>
        </w:rPr>
        <w:t>Adult learners, as established in earlier assignments, bring motivation rooted in intrinsic goals: they seek meaningful employment, professional credibility, and personal competence (Guay, 2022). These learners benefit significantly from transparent mastery standards. When learners understand exactly what competency looks like, what evidence demonstrates mastery, how they will be evaluated, and what opportunities exist for feedback and improvement, motivation increases and learner agency strengthens. Transparency also builds trust: learners can see that evaluation is based on clear, professional standards rather than subjective judgment. For automotive technology programs, transparency should mean: clearly communicating competency definitions before instruction begins; sharing rubrics so learners understand evaluation criteria; explaining which assessment methods will be used and why each contributes to mastery determination; providing formative feedback throughout learning so learners understand their progress toward mastery; and articulating what remediation or additional practice is available if mastery is not yet demonstrated. This transparency also supports fairness and equity. Learners who understand expectations can more effectively direct their learning efforts. Learners whose first language is not English, learners from backgrounds with different educational traditions, and learners with varied prior experiences can access clearer pathways to success when standards are explicit rather than implicit. Furthermore, transparent standards protect institutional credibility. When employers and the public can see that program credentials represent demonstrated mastery under clear, professional standards, confidence in graduates increases.</w:t>
      </w:r>
    </w:p>
    <w:p>
      <w:pPr>
        <w:spacing w:line="480" w:lineRule="auto"/>
        <w:ind w:firstLine="720"/>
      </w:pPr>
      <w:r>
        <w:rPr>
          <w:rFonts w:ascii="Times New Roman" w:hAnsi="Times New Roman"/>
          <w:b/>
          <w:sz w:val="24"/>
        </w:rPr>
        <w:t>Continuous Improvement and Remediation</w:t>
      </w:r>
    </w:p>
    <w:p>
      <w:pPr>
        <w:spacing w:line="480" w:lineRule="auto"/>
        <w:ind w:firstLine="720"/>
      </w:pPr>
      <w:r>
        <w:rPr>
          <w:rFonts w:ascii="Times New Roman" w:hAnsi="Times New Roman"/>
          <w:sz w:val="24"/>
        </w:rPr>
        <w:t xml:space="preserve">Mastery determination should not function as a simple pass/fail gate. Rather, when assessment reveals that learners have not yet demonstrated mastery, the program should implement targeted support and reassessment. </w:t>
      </w:r>
      <w:r>
        <w:rPr>
          <w:rFonts w:ascii="Times New Roman" w:hAnsi="Times New Roman"/>
          <w:b/>
          <w:sz w:val="24"/>
        </w:rPr>
        <w:t>Targeted feedback</w:t>
      </w:r>
      <w:r>
        <w:rPr>
          <w:rFonts w:ascii="Times New Roman" w:hAnsi="Times New Roman"/>
          <w:sz w:val="24"/>
        </w:rPr>
        <w:t xml:space="preserve"> should identify specific areas of strength and areas requiring further development. Rather than generic statements ("Your diagnostic reasoning needs improvement"), feedback should be specific: ("Your initial hypothesis was correct, but you tested three unnecessary components before confirming the diagnosis. Next time, prioritize testing based on likelihood rather than component accessibility.") </w:t>
      </w:r>
      <w:r>
        <w:rPr>
          <w:rFonts w:ascii="Times New Roman" w:hAnsi="Times New Roman"/>
          <w:b/>
          <w:sz w:val="24"/>
        </w:rPr>
        <w:t>Additional simulator practice</w:t>
      </w:r>
      <w:r>
        <w:rPr>
          <w:rFonts w:ascii="Times New Roman" w:hAnsi="Times New Roman"/>
          <w:sz w:val="24"/>
        </w:rPr>
        <w:t xml:space="preserve"> allows learners to engage with diagnostic scenarios similar to areas where they showed weakness, receive immediate feedback, and build competency without high-stakes pressure. </w:t>
      </w:r>
      <w:r>
        <w:rPr>
          <w:rFonts w:ascii="Times New Roman" w:hAnsi="Times New Roman"/>
          <w:b/>
          <w:sz w:val="24"/>
        </w:rPr>
        <w:t>Instructor coaching</w:t>
      </w:r>
      <w:r>
        <w:rPr>
          <w:rFonts w:ascii="Times New Roman" w:hAnsi="Times New Roman"/>
          <w:sz w:val="24"/>
        </w:rPr>
        <w:t xml:space="preserve"> provides one-on-one or small-group support focusing on specific competencies. For example, if a learner struggles with professional communication, coaching might include practice articulating diagnostic findings, receiving feedback on clarity and tone, and revising explanations. </w:t>
      </w:r>
      <w:r>
        <w:rPr>
          <w:rFonts w:ascii="Times New Roman" w:hAnsi="Times New Roman"/>
          <w:b/>
          <w:sz w:val="24"/>
        </w:rPr>
        <w:t>Reassessment</w:t>
      </w:r>
      <w:r>
        <w:rPr>
          <w:rFonts w:ascii="Times New Roman" w:hAnsi="Times New Roman"/>
          <w:sz w:val="24"/>
        </w:rPr>
        <w:t xml:space="preserve"> gives learners opportunity to demonstrate mastery after remediation. If a learner did not demonstrate mastery on an initial diagnostic task, reassessment on a similar task shows whether targeted support was effective. </w:t>
      </w:r>
      <w:r>
        <w:rPr>
          <w:rFonts w:ascii="Times New Roman" w:hAnsi="Times New Roman"/>
          <w:b/>
          <w:sz w:val="24"/>
        </w:rPr>
        <w:t>Individualized learning plans</w:t>
      </w:r>
      <w:r>
        <w:rPr>
          <w:rFonts w:ascii="Times New Roman" w:hAnsi="Times New Roman"/>
          <w:sz w:val="24"/>
        </w:rPr>
        <w:t xml:space="preserve"> document the learner's areas of strength, areas requiring development, specific support strategies, and timelines for reassessment. This approach treats remediation as part of normal competency development rather than as punishment or stigma. Adult learners, particularly those who may lack confidence based on prior educational experiences, benefit from knowing that struggling is normal, that support is available, and that reassessment opportunities exist. Programs that normalize revision and iterative improvement create cultures where learners persist through challenges rather than withdrawing.</w:t>
      </w:r>
    </w:p>
    <w:p>
      <w:pPr>
        <w:spacing w:line="480" w:lineRule="auto"/>
        <w:ind w:firstLine="720"/>
      </w:pPr>
      <w:r>
        <w:rPr>
          <w:rFonts w:ascii="Times New Roman" w:hAnsi="Times New Roman"/>
          <w:b/>
          <w:sz w:val="24"/>
        </w:rPr>
        <w:t>Transition to Retention and Completion Supports</w:t>
      </w:r>
    </w:p>
    <w:p>
      <w:pPr>
        <w:spacing w:line="480" w:lineRule="auto"/>
        <w:ind w:firstLine="720"/>
      </w:pPr>
      <w:r>
        <w:rPr>
          <w:rFonts w:ascii="Times New Roman" w:hAnsi="Times New Roman"/>
          <w:sz w:val="24"/>
        </w:rPr>
        <w:t>Determining mastery represents only one component of learner success in postsecondary automotive technology programs. Sound assessment practices ensure that instructors can identify when learners have developed workplace-ready competency. However, assessment does not address the broader question of how programs support adult learners in persisting through coursework, managing competing demands (employment, family, finances), building confidence and professional identity, and successfully transitioning into the workforce. Postsecondary automotive technology programs must provide academic, instructional, and personal supports that enable adult learners to complete credential requirements and enter professional automotive careers successfully. These learner supports—structured academic advising, flexible delivery options, financial assistance, mentoring, career planning, and workplace connections—are examined in the following section.</w:t>
      </w:r>
    </w:p>
    <w:p>
      <w:pPr>
        <w:spacing w:line="480" w:lineRule="auto"/>
        <w:ind w:firstLine="720"/>
      </w:pPr>
      <w:r>
        <w:rPr>
          <w:rFonts w:ascii="Times New Roman" w:hAnsi="Times New Roman"/>
          <w:b/>
          <w:sz w:val="24"/>
        </w:rPr>
        <w:t>Retention and Completion Supports</w:t>
      </w:r>
    </w:p>
    <w:p>
      <w:pPr>
        <w:spacing w:line="480" w:lineRule="auto"/>
        <w:ind w:firstLine="720"/>
      </w:pPr>
      <w:r>
        <w:rPr>
          <w:rFonts w:ascii="Times New Roman" w:hAnsi="Times New Roman"/>
          <w:sz w:val="24"/>
        </w:rPr>
        <w:t>Effective competency-based programs recognize that workforce readiness depends not only on rigorous assessment but also on sustained learner persistence and successful program completion. Assessment methods, rubrics, and mastery standards are meaningless if learners do not complete programs to reach the point where competency can be demonstrated and validated. Retention and completion support systems are therefore integral to workforce development rather than peripheral student services. This section examines how postsecondary automotive technology programs can sustain adult learner engagement, address barriers to completion, and support successful transitions into professional employment.</w:t>
      </w:r>
    </w:p>
    <w:p>
      <w:pPr>
        <w:spacing w:line="480" w:lineRule="auto"/>
        <w:ind w:firstLine="720"/>
      </w:pPr>
      <w:r>
        <w:rPr>
          <w:rFonts w:ascii="Times New Roman" w:hAnsi="Times New Roman"/>
          <w:b/>
          <w:sz w:val="24"/>
        </w:rPr>
        <w:t>Persistence as a Workforce Issue</w:t>
      </w:r>
    </w:p>
    <w:p>
      <w:pPr>
        <w:spacing w:line="480" w:lineRule="auto"/>
        <w:ind w:firstLine="720"/>
      </w:pPr>
      <w:r>
        <w:rPr>
          <w:rFonts w:ascii="Times New Roman" w:hAnsi="Times New Roman"/>
          <w:sz w:val="24"/>
        </w:rPr>
        <w:t>Learner persistence rates directly affect workforce supply. When a postsecondary automotive technology program has low completion rates, fewer graduates enter the workforce, reducing the supply of trained technicians available to employers and limiting the program's contribution to regional economic development. Conversely, programs that support high completion rates increase workforce capacity and demonstrate value to community stakeholders, employers, and policymakers. Completion rates also influence individual learner outcomes: learners who complete programs and earn credentials experience better employment prospects, higher earning potential, and greater career mobility than learners who withdraw before completion. Furthermore, learner persistence reflects program quality. High retention typically indicates that instruction is effective, support systems are responsive, and learning experiences are authentic and engaging. Programs with declining retention rates signal potential problems: instruction may not be aligned with learner needs, barriers to completion may not be adequately addressed, or learner motivation may be declining. Therefore, retention and completion are not simply metrics to track; they are indicators of program health and workforce readiness. Programs committed to serving adult learners and preparing them for meaningful employment must view persistence support as a core component of program design, not an afterthought.</w:t>
      </w:r>
    </w:p>
    <w:p>
      <w:pPr>
        <w:spacing w:line="480" w:lineRule="auto"/>
        <w:ind w:firstLine="720"/>
      </w:pPr>
      <w:r>
        <w:rPr>
          <w:rFonts w:ascii="Times New Roman" w:hAnsi="Times New Roman"/>
          <w:b/>
          <w:sz w:val="24"/>
        </w:rPr>
        <w:t>Understanding Adult Learner Barriers and Support as Institutional Responsibility</w:t>
      </w:r>
    </w:p>
    <w:p>
      <w:pPr>
        <w:spacing w:line="480" w:lineRule="auto"/>
        <w:ind w:firstLine="720"/>
      </w:pPr>
      <w:r>
        <w:rPr>
          <w:rFonts w:ascii="Times New Roman" w:hAnsi="Times New Roman"/>
          <w:sz w:val="24"/>
        </w:rPr>
        <w:t xml:space="preserve">Adult automotive technology learners face distinctive barriers to completion. Many are </w:t>
      </w:r>
      <w:r>
        <w:rPr>
          <w:rFonts w:ascii="Times New Roman" w:hAnsi="Times New Roman"/>
          <w:b/>
          <w:sz w:val="24"/>
        </w:rPr>
        <w:t>employed full-time or part-time</w:t>
      </w:r>
      <w:r>
        <w:rPr>
          <w:rFonts w:ascii="Times New Roman" w:hAnsi="Times New Roman"/>
          <w:sz w:val="24"/>
        </w:rPr>
        <w:t xml:space="preserve"> while attending school, creating scheduling conflicts, fatigue, and competing time demands. Others have </w:t>
      </w:r>
      <w:r>
        <w:rPr>
          <w:rFonts w:ascii="Times New Roman" w:hAnsi="Times New Roman"/>
          <w:b/>
          <w:sz w:val="24"/>
        </w:rPr>
        <w:t>significant family responsibilities</w:t>
      </w:r>
      <w:r>
        <w:rPr>
          <w:rFonts w:ascii="Times New Roman" w:hAnsi="Times New Roman"/>
          <w:sz w:val="24"/>
        </w:rPr>
        <w:t xml:space="preserve">—childcare, eldercare, or support of dependents—that create inflexible obligations competing with study time. </w:t>
      </w:r>
      <w:r>
        <w:rPr>
          <w:rFonts w:ascii="Times New Roman" w:hAnsi="Times New Roman"/>
          <w:b/>
          <w:sz w:val="24"/>
        </w:rPr>
        <w:t>Military-connected learners</w:t>
      </w:r>
      <w:r>
        <w:rPr>
          <w:rFonts w:ascii="Times New Roman" w:hAnsi="Times New Roman"/>
          <w:sz w:val="24"/>
        </w:rPr>
        <w:t xml:space="preserve"> (veterans, active-duty military using education benefits, military spouses) may face geographic relocation, service-related barriers, or difficulty applying prior learning to civilian education. </w:t>
      </w:r>
      <w:r>
        <w:rPr>
          <w:rFonts w:ascii="Times New Roman" w:hAnsi="Times New Roman"/>
          <w:b/>
          <w:sz w:val="24"/>
        </w:rPr>
        <w:t>Financial constraints</w:t>
      </w:r>
      <w:r>
        <w:rPr>
          <w:rFonts w:ascii="Times New Roman" w:hAnsi="Times New Roman"/>
          <w:sz w:val="24"/>
        </w:rPr>
        <w:t xml:space="preserve"> are nearly universal for adult learners: tuition costs, textbook expenses, tools and equipment, transportation, and reduced earnings during school create stress and may force learners to increase work hours when other expenses arise. </w:t>
      </w:r>
      <w:r>
        <w:rPr>
          <w:rFonts w:ascii="Times New Roman" w:hAnsi="Times New Roman"/>
          <w:b/>
          <w:sz w:val="24"/>
        </w:rPr>
        <w:t>Technology barriers</w:t>
      </w:r>
      <w:r>
        <w:rPr>
          <w:rFonts w:ascii="Times New Roman" w:hAnsi="Times New Roman"/>
          <w:sz w:val="24"/>
        </w:rPr>
        <w:t xml:space="preserve"> affect learners with limited device access, unreliable internet, or limited digital literacy. </w:t>
      </w:r>
      <w:r>
        <w:rPr>
          <w:rFonts w:ascii="Times New Roman" w:hAnsi="Times New Roman"/>
          <w:b/>
          <w:sz w:val="24"/>
        </w:rPr>
        <w:t>Academic confidence</w:t>
      </w:r>
      <w:r>
        <w:rPr>
          <w:rFonts w:ascii="Times New Roman" w:hAnsi="Times New Roman"/>
          <w:sz w:val="24"/>
        </w:rPr>
        <w:t xml:space="preserve"> challenges may stem from prior negative educational experiences, time away from academic settings, or learning differences that were not previously identified. These barriers are not individual failings; they reflect the reality that adult learners typically have more complex life situations than traditional-age students. Effective support systems acknowledge these barriers as systemic issues requiring programmatic response rather than expecting learners to overcome them through individual willpower. Furthermore, barriers are often interconnected: a learner with full-time employment and family responsibilities who faces financial hardship and limited transportation faces compounded difficulty, not three isolated challenges. Research on adult learning contexts emphasizes that support systems—advising, tutoring, mentoring, flexible scheduling, and peer community—are not peripheral services but central to program success (Mukhalalati &amp; Taylor, 2019).</w:t>
      </w:r>
    </w:p>
    <w:p>
      <w:pPr>
        <w:spacing w:line="480" w:lineRule="auto"/>
        <w:ind w:firstLine="720"/>
      </w:pPr>
      <w:r>
        <w:rPr>
          <w:rFonts w:ascii="Times New Roman" w:hAnsi="Times New Roman"/>
          <w:b/>
          <w:sz w:val="24"/>
        </w:rPr>
        <w:t>Academic and Instructional Supports</w:t>
      </w:r>
    </w:p>
    <w:p>
      <w:pPr>
        <w:spacing w:line="480" w:lineRule="auto"/>
        <w:ind w:firstLine="720"/>
      </w:pPr>
      <w:r>
        <w:rPr>
          <w:rFonts w:ascii="Times New Roman" w:hAnsi="Times New Roman"/>
          <w:sz w:val="24"/>
        </w:rPr>
        <w:t xml:space="preserve">Programs can address barriers through targeted academic and instructional support. </w:t>
      </w:r>
      <w:r>
        <w:rPr>
          <w:rFonts w:ascii="Times New Roman" w:hAnsi="Times New Roman"/>
          <w:b/>
          <w:sz w:val="24"/>
        </w:rPr>
        <w:t>Faculty advising</w:t>
      </w:r>
      <w:r>
        <w:rPr>
          <w:rFonts w:ascii="Times New Roman" w:hAnsi="Times New Roman"/>
          <w:sz w:val="24"/>
        </w:rPr>
        <w:t xml:space="preserve"> provides individualized guidance on course sequencing, academic planning, prerequisite support, and pathway options. Adult learners benefit from advisors who understand their specific situations and can help identify efficient, realistic paths to credential completion. </w:t>
      </w:r>
      <w:r>
        <w:rPr>
          <w:rFonts w:ascii="Times New Roman" w:hAnsi="Times New Roman"/>
          <w:b/>
          <w:sz w:val="24"/>
        </w:rPr>
        <w:t>Tutoring and study support</w:t>
      </w:r>
      <w:r>
        <w:rPr>
          <w:rFonts w:ascii="Times New Roman" w:hAnsi="Times New Roman"/>
          <w:sz w:val="24"/>
        </w:rPr>
        <w:t xml:space="preserve"> help learners strengthen foundational knowledge and develop academic skills necessary for success in technical coursework. Tutoring is particularly valuable when delivered by instructors or peers who understand automotive content and can connect academic concepts to technical application. </w:t>
      </w:r>
      <w:r>
        <w:rPr>
          <w:rFonts w:ascii="Times New Roman" w:hAnsi="Times New Roman"/>
          <w:b/>
          <w:sz w:val="24"/>
        </w:rPr>
        <w:t>Structured feedback and coaching</w:t>
      </w:r>
      <w:r>
        <w:rPr>
          <w:rFonts w:ascii="Times New Roman" w:hAnsi="Times New Roman"/>
          <w:sz w:val="24"/>
        </w:rPr>
        <w:t xml:space="preserve"> during coursework help learners understand progress, address misconceptions early, and build competency before high-stakes assessment. </w:t>
      </w:r>
      <w:r>
        <w:rPr>
          <w:rFonts w:ascii="Times New Roman" w:hAnsi="Times New Roman"/>
          <w:b/>
          <w:sz w:val="24"/>
        </w:rPr>
        <w:t>Flexible scheduling</w:t>
      </w:r>
      <w:r>
        <w:rPr>
          <w:rFonts w:ascii="Times New Roman" w:hAnsi="Times New Roman"/>
          <w:sz w:val="24"/>
        </w:rPr>
        <w:t xml:space="preserve"> options—evening classes, weekend offerings, hybrid delivery—enable employed learners to maintain work while studying. </w:t>
      </w:r>
      <w:r>
        <w:rPr>
          <w:rFonts w:ascii="Times New Roman" w:hAnsi="Times New Roman"/>
          <w:b/>
          <w:sz w:val="24"/>
        </w:rPr>
        <w:t>Asynchronous and hybrid instruction</w:t>
      </w:r>
      <w:r>
        <w:rPr>
          <w:rFonts w:ascii="Times New Roman" w:hAnsi="Times New Roman"/>
          <w:sz w:val="24"/>
        </w:rPr>
        <w:t xml:space="preserve"> allow learners to engage with content on schedules accommodating full-time work and family obligations, though careful design is essential to ensure that hybrid formats maintain the authentic, performance-based assessment critical for competency development. </w:t>
      </w:r>
      <w:r>
        <w:rPr>
          <w:rFonts w:ascii="Times New Roman" w:hAnsi="Times New Roman"/>
          <w:b/>
          <w:sz w:val="24"/>
        </w:rPr>
        <w:t>AI-supported practice through the Car Diagnosis Simulator</w:t>
      </w:r>
      <w:r>
        <w:rPr>
          <w:rFonts w:ascii="Times New Roman" w:hAnsi="Times New Roman"/>
          <w:sz w:val="24"/>
        </w:rPr>
        <w:t xml:space="preserve"> provides particularly valuable support: learners can engage with unlimited diagnostic scenarios on individual schedules, receive immediate feedback, build confidence through repeated practice, and generate performance data informing instructor feedback. The simulator's availability for self-directed practice removes scheduling barriers that might otherwise prevent learners from accessing sufficient diagnostic experience. These supports directly facilitate competency development rather than simply reducing course content.</w:t>
      </w:r>
    </w:p>
    <w:p>
      <w:pPr>
        <w:spacing w:line="480" w:lineRule="auto"/>
        <w:ind w:firstLine="720"/>
      </w:pPr>
      <w:r>
        <w:rPr>
          <w:rFonts w:ascii="Times New Roman" w:hAnsi="Times New Roman"/>
          <w:b/>
          <w:sz w:val="24"/>
        </w:rPr>
        <w:t>Professional and Social Supports</w:t>
      </w:r>
    </w:p>
    <w:p>
      <w:pPr>
        <w:spacing w:line="480" w:lineRule="auto"/>
        <w:ind w:firstLine="720"/>
      </w:pPr>
      <w:r>
        <w:rPr>
          <w:rFonts w:ascii="Times New Roman" w:hAnsi="Times New Roman"/>
          <w:sz w:val="24"/>
        </w:rPr>
        <w:t xml:space="preserve">Beyond academic supports, adult learners benefit from professional and social connections that strengthen identity as emerging automotive professionals. </w:t>
      </w:r>
      <w:r>
        <w:rPr>
          <w:rFonts w:ascii="Times New Roman" w:hAnsi="Times New Roman"/>
          <w:b/>
          <w:sz w:val="24"/>
        </w:rPr>
        <w:t>Mentoring programs</w:t>
      </w:r>
      <w:r>
        <w:rPr>
          <w:rFonts w:ascii="Times New Roman" w:hAnsi="Times New Roman"/>
          <w:sz w:val="24"/>
        </w:rPr>
        <w:t xml:space="preserve"> pair learners with experienced technicians, program instructors, or advanced students who model professional behavior, provide encouragement, and offer real-world perspective on automotive careers. </w:t>
      </w:r>
      <w:r>
        <w:rPr>
          <w:rFonts w:ascii="Times New Roman" w:hAnsi="Times New Roman"/>
          <w:b/>
          <w:sz w:val="24"/>
        </w:rPr>
        <w:t>Peer learning communities</w:t>
      </w:r>
      <w:r>
        <w:rPr>
          <w:rFonts w:ascii="Times New Roman" w:hAnsi="Times New Roman"/>
          <w:sz w:val="24"/>
        </w:rPr>
        <w:t xml:space="preserve"> create social connection and reduce isolation common in part-time adult learner populations. When learners interact regularly with peers pursuing similar goals, belonging increases, motivation strengthens, and peer support can sustain learners through challenging periods. </w:t>
      </w:r>
      <w:r>
        <w:rPr>
          <w:rFonts w:ascii="Times New Roman" w:hAnsi="Times New Roman"/>
          <w:b/>
          <w:sz w:val="24"/>
        </w:rPr>
        <w:t>Advisory committees</w:t>
      </w:r>
      <w:r>
        <w:rPr>
          <w:rFonts w:ascii="Times New Roman" w:hAnsi="Times New Roman"/>
          <w:sz w:val="24"/>
        </w:rPr>
        <w:t xml:space="preserve"> including local employers, technicians, and industry professionals provide programs with current workforce perspectives and create pathways for employer-program connection. These connections benefit learners by making employment prospects tangible and industry connections visible. </w:t>
      </w:r>
      <w:r>
        <w:rPr>
          <w:rFonts w:ascii="Times New Roman" w:hAnsi="Times New Roman"/>
          <w:b/>
          <w:sz w:val="24"/>
        </w:rPr>
        <w:t>Internships and workplace learning experiences</w:t>
      </w:r>
      <w:r>
        <w:rPr>
          <w:rFonts w:ascii="Times New Roman" w:hAnsi="Times New Roman"/>
          <w:sz w:val="24"/>
        </w:rPr>
        <w:t xml:space="preserve"> enable learners to apply classroom competencies in professional contexts, build employer relationships, develop workplace confidence, and often lead to employment offers. </w:t>
      </w:r>
      <w:r>
        <w:rPr>
          <w:rFonts w:ascii="Times New Roman" w:hAnsi="Times New Roman"/>
          <w:b/>
          <w:sz w:val="24"/>
        </w:rPr>
        <w:t>Career services</w:t>
      </w:r>
      <w:r>
        <w:rPr>
          <w:rFonts w:ascii="Times New Roman" w:hAnsi="Times New Roman"/>
          <w:sz w:val="24"/>
        </w:rPr>
        <w:t xml:space="preserve"> help learners with resume development, interview preparation, job search strategies, and connections to employer recruiting. These professional and social supports strengthen learners' professional identity and self-efficacy as automotive technicians.</w:t>
      </w:r>
    </w:p>
    <w:p>
      <w:pPr>
        <w:spacing w:line="480" w:lineRule="auto"/>
        <w:ind w:firstLine="720"/>
      </w:pPr>
      <w:r>
        <w:rPr>
          <w:rFonts w:ascii="Times New Roman" w:hAnsi="Times New Roman"/>
          <w:b/>
          <w:sz w:val="24"/>
        </w:rPr>
        <w:t>Early Intervention and Continuous Improvement</w:t>
      </w:r>
    </w:p>
    <w:p>
      <w:pPr>
        <w:spacing w:line="480" w:lineRule="auto"/>
        <w:ind w:firstLine="720"/>
      </w:pPr>
      <w:r>
        <w:rPr>
          <w:rFonts w:ascii="Times New Roman" w:hAnsi="Times New Roman"/>
          <w:sz w:val="24"/>
        </w:rPr>
        <w:t xml:space="preserve">Assessment data generated throughout the program—simulator analytics, formative assessments, assignment performance, practical exam results—can be used proactively to identify learners at risk of withdrawal and support early intervention. </w:t>
      </w:r>
      <w:r>
        <w:rPr>
          <w:rFonts w:ascii="Times New Roman" w:hAnsi="Times New Roman"/>
          <w:b/>
          <w:sz w:val="24"/>
        </w:rPr>
        <w:t>Early-alert systems</w:t>
      </w:r>
      <w:r>
        <w:rPr>
          <w:rFonts w:ascii="Times New Roman" w:hAnsi="Times New Roman"/>
          <w:sz w:val="24"/>
        </w:rPr>
        <w:t xml:space="preserve"> monitor indicators of struggle: declining simulator performance, missed assignments, absence from learning activities, or negative trends in formative assessment. When indicators suggest a learner is at risk, advisors or instructors can initiate proactive contact, understand barriers, and identify support. A learner whose simulator performance is declining might be experiencing work-related stress, transportation barriers, or technical difficulty understanding diagnostic reasoning. Understanding the root cause enables targeted support: perhaps modified scheduling, additional coaching, or workplace accommodations. </w:t>
      </w:r>
      <w:r>
        <w:rPr>
          <w:rFonts w:ascii="Times New Roman" w:hAnsi="Times New Roman"/>
          <w:b/>
          <w:sz w:val="24"/>
        </w:rPr>
        <w:t>Continuous assessment analytics</w:t>
      </w:r>
      <w:r>
        <w:rPr>
          <w:rFonts w:ascii="Times New Roman" w:hAnsi="Times New Roman"/>
          <w:sz w:val="24"/>
        </w:rPr>
        <w:t xml:space="preserve"> provide real-time insight into learner progress rather than waiting for end-of-semester grades. Instructors can identify misconceptions or skill gaps early and provide targeted feedback. </w:t>
      </w:r>
      <w:r>
        <w:rPr>
          <w:rFonts w:ascii="Times New Roman" w:hAnsi="Times New Roman"/>
          <w:b/>
          <w:sz w:val="24"/>
        </w:rPr>
        <w:t>Individualized support plans</w:t>
      </w:r>
      <w:r>
        <w:rPr>
          <w:rFonts w:ascii="Times New Roman" w:hAnsi="Times New Roman"/>
          <w:sz w:val="24"/>
        </w:rPr>
        <w:t xml:space="preserve"> address specific learner barriers and needs. Plans might include specific tutoring, work-study authorization to reduce work hours, technology support, or flexible scheduling. </w:t>
      </w:r>
      <w:r>
        <w:rPr>
          <w:rFonts w:ascii="Times New Roman" w:hAnsi="Times New Roman"/>
          <w:b/>
          <w:sz w:val="24"/>
        </w:rPr>
        <w:t>Program improvement through retention data</w:t>
      </w:r>
      <w:r>
        <w:rPr>
          <w:rFonts w:ascii="Times New Roman" w:hAnsi="Times New Roman"/>
          <w:sz w:val="24"/>
        </w:rPr>
        <w:t xml:space="preserve"> informs continuous refinement. When programs analyze patterns in learner persistence—which learners complete successfully, which withdraw, at what points withdrawals occur, what barriers are commonly cited—programs can adjust supports to increase effectiveness. For example, if many learners withdraw during the third week, programs might investigate what occurs then and provide extra support during that vulnerable period. If employed learners consistently struggle with evening lab sessions, programs might offer additional daytime or asynchronous alternative experiences. Continuous improvement reflects commitment to serving adult learners rather than assuming that current approaches are optimal.</w:t>
      </w:r>
    </w:p>
    <w:p>
      <w:pPr>
        <w:spacing w:line="480" w:lineRule="auto"/>
        <w:ind w:firstLine="720"/>
      </w:pPr>
      <w:r>
        <w:rPr>
          <w:rFonts w:ascii="Times New Roman" w:hAnsi="Times New Roman"/>
          <w:b/>
          <w:sz w:val="24"/>
        </w:rPr>
        <w:t>Unified System: Assessment, Instruction, and Support</w:t>
      </w:r>
    </w:p>
    <w:p>
      <w:pPr>
        <w:spacing w:line="480" w:lineRule="auto"/>
        <w:ind w:firstLine="720"/>
      </w:pPr>
      <w:r>
        <w:rPr>
          <w:rFonts w:ascii="Times New Roman" w:hAnsi="Times New Roman"/>
          <w:sz w:val="24"/>
        </w:rPr>
        <w:t>Competency-based assessment, authentic instructional experiences, and comprehensive learner supports function most effectively when implemented as integrated components of a unified educational system. Assessment data informs instructional adjustments and identifies learners needing additional support. Authentic instruction—through the Car Diagnosis Simulator and workplace experiences—maintains engagement and demonstrates relevance. Learner supports remove barriers and sustain persistence. Together, these elements prepare learners not only to complete an academic program but also to enter the automotive workforce with the knowledge, skills, judgment, and professional confidence required for long-term career success. The concluding section synthesizes these relationships and considers their implications for workforce-aligned, competency-based automotive technology education.</w:t>
      </w:r>
    </w:p>
    <w:p>
      <w:pPr>
        <w:spacing w:line="480" w:lineRule="auto"/>
        <w:ind w:firstLine="720"/>
      </w:pPr>
      <w:r>
        <w:rPr>
          <w:rFonts w:ascii="Times New Roman" w:hAnsi="Times New Roman"/>
          <w:b/>
          <w:sz w:val="24"/>
        </w:rPr>
        <w:t>Conclusion</w:t>
      </w:r>
    </w:p>
    <w:p>
      <w:pPr>
        <w:spacing w:line="480" w:lineRule="auto"/>
        <w:ind w:firstLine="720"/>
      </w:pPr>
      <w:r>
        <w:rPr>
          <w:rFonts w:ascii="Times New Roman" w:hAnsi="Times New Roman"/>
          <w:b/>
          <w:sz w:val="24"/>
        </w:rPr>
        <w:t>Reaffirming the Central Question</w:t>
      </w:r>
    </w:p>
    <w:p>
      <w:pPr>
        <w:spacing w:line="480" w:lineRule="auto"/>
        <w:ind w:firstLine="720"/>
      </w:pPr>
      <w:r>
        <w:rPr>
          <w:rFonts w:ascii="Times New Roman" w:hAnsi="Times New Roman"/>
          <w:sz w:val="24"/>
        </w:rPr>
        <w:t xml:space="preserve">This manuscript began with a deceptively simple but operationally complex question: </w:t>
      </w:r>
      <w:r>
        <w:rPr>
          <w:rFonts w:ascii="Times New Roman" w:hAnsi="Times New Roman"/>
          <w:i/>
          <w:sz w:val="24"/>
        </w:rPr>
        <w:t>How do we know learners are competent enough to perform successfully in the automotive workforce?</w:t>
      </w:r>
      <w:r>
        <w:rPr>
          <w:rFonts w:ascii="Times New Roman" w:hAnsi="Times New Roman"/>
          <w:sz w:val="24"/>
        </w:rPr>
        <w:t xml:space="preserve"> This question addresses a fundamental challenge in Career and Technical Education: distinguishing between learners who have completed coursework and passed examinations versus learners who have genuinely developed the integrated knowledge, skills, reasoning, judgment, and professional behaviors necessary for workplace success. Traditional assessment approaches—written exams measuring isolated facts, procedural checklists, letter grades based on point accumulation—provide limited insight into workforce readiness. A learner may score well on an electrical theory examination yet lack the diagnostic reasoning necessary to troubleshoot complex faults. Another may earn high grades in courses yet struggle with the pace, ambiguity, and decision-making demands of professional employment. Competency-based education addresses this limitation by defining workforce performance directly, aligning instruction with authentic professional tasks, assessing through performance in realistic contexts, and determining readiness based on evidence from multiple authentic assessments. This approach shifts the fundamental question from "Has the student completed the course?" to "Has the learner demonstrated that they can perform successfully in the automotive workforce?"</w:t>
      </w:r>
    </w:p>
    <w:p>
      <w:pPr>
        <w:spacing w:line="480" w:lineRule="auto"/>
        <w:ind w:firstLine="720"/>
      </w:pPr>
      <w:r>
        <w:rPr>
          <w:rFonts w:ascii="Times New Roman" w:hAnsi="Times New Roman"/>
          <w:b/>
          <w:sz w:val="24"/>
        </w:rPr>
        <w:t>The Unified Competency-Based Framework</w:t>
      </w:r>
    </w:p>
    <w:p>
      <w:pPr>
        <w:spacing w:line="480" w:lineRule="auto"/>
        <w:ind w:firstLine="720"/>
      </w:pPr>
      <w:r>
        <w:rPr>
          <w:rFonts w:ascii="Times New Roman" w:hAnsi="Times New Roman"/>
          <w:sz w:val="24"/>
        </w:rPr>
        <w:t xml:space="preserve">The framework developed throughout this manuscript demonstrates how competency-based assessment operates not as a discrete evaluation mechanism but as part of a unified educational system. </w:t>
      </w:r>
      <w:r>
        <w:rPr>
          <w:rFonts w:ascii="Times New Roman" w:hAnsi="Times New Roman"/>
          <w:b/>
          <w:sz w:val="24"/>
        </w:rPr>
        <w:t>Program competencies</w:t>
      </w:r>
      <w:r>
        <w:rPr>
          <w:rFonts w:ascii="Times New Roman" w:hAnsi="Times New Roman"/>
          <w:sz w:val="24"/>
        </w:rPr>
        <w:t xml:space="preserve"> are defined not as isolated skills but as integrated capabilities reflecting workplace performance (diagnostic reasoning, electrical analysis, documentation, communication, safety, evidence-based decision-making, continuous learning). </w:t>
      </w:r>
      <w:r>
        <w:rPr>
          <w:rFonts w:ascii="Times New Roman" w:hAnsi="Times New Roman"/>
          <w:b/>
          <w:sz w:val="24"/>
        </w:rPr>
        <w:t>Industry alignment</w:t>
      </w:r>
      <w:r>
        <w:rPr>
          <w:rFonts w:ascii="Times New Roman" w:hAnsi="Times New Roman"/>
          <w:sz w:val="24"/>
        </w:rPr>
        <w:t xml:space="preserve"> ensures these competencies match workforce expectations, professional standards, and credential pathways, preventing programs from developing competencies irrelevant to employment. </w:t>
      </w:r>
      <w:r>
        <w:rPr>
          <w:rFonts w:ascii="Times New Roman" w:hAnsi="Times New Roman"/>
          <w:b/>
          <w:sz w:val="24"/>
        </w:rPr>
        <w:t>Credential considerations</w:t>
      </w:r>
      <w:r>
        <w:rPr>
          <w:rFonts w:ascii="Times New Roman" w:hAnsi="Times New Roman"/>
          <w:sz w:val="24"/>
        </w:rPr>
        <w:t xml:space="preserve"> clarify how program-based competency assessment and industry certification support—but do not replace—one another. </w:t>
      </w:r>
      <w:r>
        <w:rPr>
          <w:rFonts w:ascii="Times New Roman" w:hAnsi="Times New Roman"/>
          <w:b/>
          <w:sz w:val="24"/>
        </w:rPr>
        <w:t>Authentic assessment methods</w:t>
      </w:r>
      <w:r>
        <w:rPr>
          <w:rFonts w:ascii="Times New Roman" w:hAnsi="Times New Roman"/>
          <w:sz w:val="24"/>
        </w:rPr>
        <w:t xml:space="preserve"> provide continuous, multidimensional evidence of competency development through formative feedback, summative performance assessments, simulator analytics, and workplace evaluation. </w:t>
      </w:r>
      <w:r>
        <w:rPr>
          <w:rFonts w:ascii="Times New Roman" w:hAnsi="Times New Roman"/>
          <w:b/>
          <w:sz w:val="24"/>
        </w:rPr>
        <w:t>Skill mastery evaluation</w:t>
      </w:r>
      <w:r>
        <w:rPr>
          <w:rFonts w:ascii="Times New Roman" w:hAnsi="Times New Roman"/>
          <w:sz w:val="24"/>
        </w:rPr>
        <w:t xml:space="preserve"> translates assessment evidence into transparent standards and defensible judgments about whether learners have achieved workforce-ready competency. </w:t>
      </w:r>
      <w:r>
        <w:rPr>
          <w:rFonts w:ascii="Times New Roman" w:hAnsi="Times New Roman"/>
          <w:b/>
          <w:sz w:val="24"/>
        </w:rPr>
        <w:t>Retention and completion supports</w:t>
      </w:r>
      <w:r>
        <w:rPr>
          <w:rFonts w:ascii="Times New Roman" w:hAnsi="Times New Roman"/>
          <w:sz w:val="24"/>
        </w:rPr>
        <w:t xml:space="preserve"> ensure that adult learners persist to program completion and successfully transition into professional employment. Together, these components create a coherent educational system where every element—from initial competency definition through final credential award and employment transition—serves the central purpose: preparing technicians who can enter the automotive workforce with genuine competency and continue developing professionally throughout their careers. This integration is essential; component elements implemented in isolation are less effective. For example, rigorous assessment of underdeveloped competencies yields meaningless results. Authentic instruction without clear competency definitions may be engaging but lacks educational coherence. Learner support systems without connection to workforce realities may help learners persist but may not result in workforce-ready competency. Implemented as an integrated system, however, these components create educational experiences that are authentic, coherent, purposeful, and demonstrably connected to workforce readiness.</w:t>
      </w:r>
    </w:p>
    <w:p>
      <w:pPr>
        <w:spacing w:line="480" w:lineRule="auto"/>
        <w:ind w:firstLine="720"/>
      </w:pPr>
      <w:r>
        <w:rPr>
          <w:rFonts w:ascii="Times New Roman" w:hAnsi="Times New Roman"/>
          <w:b/>
          <w:sz w:val="24"/>
        </w:rPr>
        <w:t>Implications for Postsecondary Automotive Technology Education</w:t>
      </w:r>
    </w:p>
    <w:p>
      <w:pPr>
        <w:spacing w:line="480" w:lineRule="auto"/>
        <w:ind w:firstLine="720"/>
      </w:pPr>
      <w:r>
        <w:rPr>
          <w:rFonts w:ascii="Times New Roman" w:hAnsi="Times New Roman"/>
          <w:sz w:val="24"/>
        </w:rPr>
        <w:t xml:space="preserve">This framework has practical implications for programs and instructors. </w:t>
      </w:r>
      <w:r>
        <w:rPr>
          <w:rFonts w:ascii="Times New Roman" w:hAnsi="Times New Roman"/>
          <w:b/>
          <w:sz w:val="24"/>
        </w:rPr>
        <w:t>Instructional design</w:t>
      </w:r>
      <w:r>
        <w:rPr>
          <w:rFonts w:ascii="Times New Roman" w:hAnsi="Times New Roman"/>
          <w:sz w:val="24"/>
        </w:rPr>
        <w:t xml:space="preserve"> should deliberately align learning experiences with authentic professional tasks. Rather than abstract electrical theory presented through lectures, instruction should engage learners with realistic diagnostic scenarios—through the Car Diagnosis Simulator, actual vehicles, or workplace apprenticeships—where theory becomes meaningful and reasoning is observable. </w:t>
      </w:r>
      <w:r>
        <w:rPr>
          <w:rFonts w:ascii="Times New Roman" w:hAnsi="Times New Roman"/>
          <w:b/>
          <w:sz w:val="24"/>
        </w:rPr>
        <w:t>Assessment design</w:t>
      </w:r>
      <w:r>
        <w:rPr>
          <w:rFonts w:ascii="Times New Roman" w:hAnsi="Times New Roman"/>
          <w:sz w:val="24"/>
        </w:rPr>
        <w:t xml:space="preserve"> should include multiple methods capturing different dimensions of competency: simulator performance data revealing diagnostic reasoning; written reports demonstrating documentation skills; oral explanations showing depth of understanding; instructor observations of safe practice and professionalism; and workplace evaluations confirming competency transfer. </w:t>
      </w:r>
      <w:r>
        <w:rPr>
          <w:rFonts w:ascii="Times New Roman" w:hAnsi="Times New Roman"/>
          <w:b/>
          <w:sz w:val="24"/>
        </w:rPr>
        <w:t>Program evaluation</w:t>
      </w:r>
      <w:r>
        <w:rPr>
          <w:rFonts w:ascii="Times New Roman" w:hAnsi="Times New Roman"/>
          <w:sz w:val="24"/>
        </w:rPr>
        <w:t xml:space="preserve"> should use assessment data not simply to grade students but to improve instruction and programs. When assessment reveals that learners consistently struggle with particular competencies, programs should investigate whether instruction is aligned with competency development. When simulator analytics reveal inefficient diagnostic patterns, instructors should provide targeted coaching. When employment outcomes suggest graduates lack certain skills, programs should adjust curriculum. </w:t>
      </w:r>
      <w:r>
        <w:rPr>
          <w:rFonts w:ascii="Times New Roman" w:hAnsi="Times New Roman"/>
          <w:b/>
          <w:sz w:val="24"/>
        </w:rPr>
        <w:t>Employer partnerships</w:t>
      </w:r>
      <w:r>
        <w:rPr>
          <w:rFonts w:ascii="Times New Roman" w:hAnsi="Times New Roman"/>
          <w:sz w:val="24"/>
        </w:rPr>
        <w:t xml:space="preserve"> should be deliberate and substantive. Rather than advisory committees meeting annually, effective programs maintain regular communication with employers about evolving expectations, provide internship and apprenticeship opportunities, and invite employer feedback on graduate readiness. </w:t>
      </w:r>
      <w:r>
        <w:rPr>
          <w:rFonts w:ascii="Times New Roman" w:hAnsi="Times New Roman"/>
          <w:b/>
          <w:sz w:val="24"/>
        </w:rPr>
        <w:t>Professional development for instructors</w:t>
      </w:r>
      <w:r>
        <w:rPr>
          <w:rFonts w:ascii="Times New Roman" w:hAnsi="Times New Roman"/>
          <w:sz w:val="24"/>
        </w:rPr>
        <w:t xml:space="preserve"> should focus on assessment literacy, authentic instructional design, and competency-based education. Instructors transitioned from industry to education need support in understanding how to translate workplace expertise into educational design and assessment.</w:t>
      </w:r>
    </w:p>
    <w:p>
      <w:pPr>
        <w:spacing w:line="480" w:lineRule="auto"/>
        <w:ind w:firstLine="720"/>
      </w:pPr>
      <w:r>
        <w:rPr>
          <w:rFonts w:ascii="Times New Roman" w:hAnsi="Times New Roman"/>
          <w:b/>
          <w:sz w:val="24"/>
        </w:rPr>
        <w:t>Emerging Trends and Future Directions</w:t>
      </w:r>
    </w:p>
    <w:p>
      <w:pPr>
        <w:spacing w:line="480" w:lineRule="auto"/>
        <w:ind w:firstLine="720"/>
      </w:pPr>
      <w:r>
        <w:rPr>
          <w:rFonts w:ascii="Times New Roman" w:hAnsi="Times New Roman"/>
          <w:sz w:val="24"/>
        </w:rPr>
        <w:t xml:space="preserve">The automotive industry continues evolving rapidly. </w:t>
      </w:r>
      <w:r>
        <w:rPr>
          <w:rFonts w:ascii="Times New Roman" w:hAnsi="Times New Roman"/>
          <w:b/>
          <w:sz w:val="24"/>
        </w:rPr>
        <w:t>Connected and autonomous vehicles</w:t>
      </w:r>
      <w:r>
        <w:rPr>
          <w:rFonts w:ascii="Times New Roman" w:hAnsi="Times New Roman"/>
          <w:sz w:val="24"/>
        </w:rPr>
        <w:t xml:space="preserve"> introduce computational complexity beyond traditional diagnostic reasoning. Technicians must understand not only electrical and mechanical systems but also software, data networks, and cybersecurity principles. </w:t>
      </w:r>
      <w:r>
        <w:rPr>
          <w:rFonts w:ascii="Times New Roman" w:hAnsi="Times New Roman"/>
          <w:b/>
          <w:sz w:val="24"/>
        </w:rPr>
        <w:t>Electrification and hybrid/electric powertrains</w:t>
      </w:r>
      <w:r>
        <w:rPr>
          <w:rFonts w:ascii="Times New Roman" w:hAnsi="Times New Roman"/>
          <w:sz w:val="24"/>
        </w:rPr>
        <w:t xml:space="preserve"> require technicians to develop new competencies in high-voltage systems, battery diagnostics, and electric motor repair. </w:t>
      </w:r>
      <w:r>
        <w:rPr>
          <w:rFonts w:ascii="Times New Roman" w:hAnsi="Times New Roman"/>
          <w:b/>
          <w:sz w:val="24"/>
        </w:rPr>
        <w:t>AI-supported diagnostics and predictive maintenance</w:t>
      </w:r>
      <w:r>
        <w:rPr>
          <w:rFonts w:ascii="Times New Roman" w:hAnsi="Times New Roman"/>
          <w:sz w:val="24"/>
        </w:rPr>
        <w:t xml:space="preserve"> shift the role of technicians from reactive problem-solving to data interpretation and predictive reasoning. </w:t>
      </w:r>
      <w:r>
        <w:rPr>
          <w:rFonts w:ascii="Times New Roman" w:hAnsi="Times New Roman"/>
          <w:b/>
          <w:sz w:val="24"/>
        </w:rPr>
        <w:t>Data-informed decision-making</w:t>
      </w:r>
      <w:r>
        <w:rPr>
          <w:rFonts w:ascii="Times New Roman" w:hAnsi="Times New Roman"/>
          <w:sz w:val="24"/>
        </w:rPr>
        <w:t xml:space="preserve"> increasingly pervades automotive service: technicians must interpret machine-generated diagnostic data, manufacturer alerts, and predictive analytics. These trends suggest that future automotive technician competencies will emphasize reasoning with data and complex technologies rather than memorized procedures. The Car Diagnosis Simulator demonstrates how instructional technology can support this evolution by providing data-rich diagnostic environments where learners develop reasoning with advanced tools. Looking forward, programs should maintain flexibility and responsiveness to industry change while adhering to core principles: define competencies reflecting genuine workforce performance; assess through authentic methods capturing actual professional tasks; support learner persistence through comprehensive systems; and use assessment data to drive continuous improvement.</w:t>
      </w:r>
    </w:p>
    <w:p>
      <w:pPr>
        <w:spacing w:line="480" w:lineRule="auto"/>
        <w:ind w:firstLine="720"/>
      </w:pPr>
      <w:r>
        <w:rPr>
          <w:rFonts w:ascii="Times New Roman" w:hAnsi="Times New Roman"/>
          <w:b/>
          <w:sz w:val="24"/>
        </w:rPr>
        <w:t>Closing Synthesis</w:t>
      </w:r>
    </w:p>
    <w:p>
      <w:pPr>
        <w:spacing w:line="480" w:lineRule="auto"/>
        <w:ind w:firstLine="720"/>
      </w:pPr>
      <w:r>
        <w:rPr>
          <w:rFonts w:ascii="Times New Roman" w:hAnsi="Times New Roman"/>
          <w:sz w:val="24"/>
        </w:rPr>
        <w:t>Preparing competent automotive technicians requires far more than delivering technical content or administering examinations. It requires educational systems that intentionally align workforce expectations, competency definitions, authentic instruction, rigorous assessment, transparent mastery standards, and comprehensive learner supports into a coherent, unified approach. It requires recognizing that adult learners bring valuable experience and distinct barriers; that assessment serves to both evaluate performance and inform instructional improvement; that credentials validate rather than create competency; that the gap between classroom performance and workplace success reflects differences in context, not learner ability; and that program completion represents only the beginning of professional development. By integrating these components into a unified competency-based framework, postsecondary Automotive Technology programs can prepare graduates who possess not only technical knowledge but also the diagnostic reasoning, professional judgment, adaptability, and commitment to continuous learning necessary for sustained success in an increasingly complex and technology-enhanced automotive industry. Furthermore, this approach honors the investment that adult learners make—their time, effort, financial resources, and commitment to professional growth—by ensuring that educational credentials represent genuine workforce readiness rather than simply academic completion. In an era when workforce demand for skilled technicians exceeds supply, and when vehicle technology advances rapidly, the automotive industry needs more than high volumes of credential holders; it needs confident, competent professionals prepared to learn throughout their careers. Competency-based assessment frameworks provide the intentional, rigorous educational design necessary to develop such professionals.</w:t>
      </w:r>
    </w:p>
    <w:p>
      <w:pPr>
        <w:spacing w:line="480" w:lineRule="auto"/>
        <w:ind w:firstLine="720"/>
      </w:pPr>
      <w:r>
        <w:rPr>
          <w:rFonts w:ascii="Times New Roman" w:hAnsi="Times New Roman"/>
          <w:b/>
          <w:sz w:val="24"/>
        </w:rPr>
        <w:t>References</w:t>
      </w:r>
    </w:p>
    <w:p>
      <w:pPr>
        <w:spacing w:line="480" w:lineRule="auto"/>
        <w:ind w:hanging="720" w:left="720"/>
      </w:pPr>
      <w:r>
        <w:rPr>
          <w:rFonts w:ascii="Times New Roman" w:hAnsi="Times New Roman"/>
          <w:sz w:val="24"/>
        </w:rPr>
        <w:t xml:space="preserve">Almeqdad, Q., Alodat, A., Alquraan, M., Mohaidat, M., &amp; Al-Makhzoomy, A. (2023). The effectiveness of Universal Design for Learning: A systematic review of the literature and meta-analysis. </w:t>
      </w:r>
      <w:r>
        <w:rPr>
          <w:rFonts w:ascii="Times New Roman" w:hAnsi="Times New Roman"/>
          <w:i/>
          <w:sz w:val="24"/>
        </w:rPr>
        <w:t>Cogent Education, 10</w:t>
      </w:r>
      <w:r>
        <w:rPr>
          <w:rFonts w:ascii="Times New Roman" w:hAnsi="Times New Roman"/>
          <w:sz w:val="24"/>
        </w:rPr>
        <w:t>(1), Article 2218191. https://doi.org/10.1080/2331186X.2023.2218191</w:t>
      </w:r>
    </w:p>
    <w:p>
      <w:pPr>
        <w:spacing w:line="480" w:lineRule="auto"/>
        <w:ind w:hanging="720" w:left="720"/>
      </w:pPr>
      <w:r>
        <w:rPr>
          <w:rFonts w:ascii="Times New Roman" w:hAnsi="Times New Roman"/>
          <w:sz w:val="24"/>
        </w:rPr>
        <w:t xml:space="preserve">Guay, F. (2022). Applying self-determination theory to education: Regulations types, psychological needs, and autonomy supporting behaviors. </w:t>
      </w:r>
      <w:r>
        <w:rPr>
          <w:rFonts w:ascii="Times New Roman" w:hAnsi="Times New Roman"/>
          <w:i/>
          <w:sz w:val="24"/>
        </w:rPr>
        <w:t>Canadian Journal of School Psychology, 37</w:t>
      </w:r>
      <w:r>
        <w:rPr>
          <w:rFonts w:ascii="Times New Roman" w:hAnsi="Times New Roman"/>
          <w:sz w:val="24"/>
        </w:rPr>
        <w:t>(1), 75–92. https://doi.org/10.1177/08295735211055355</w:t>
      </w:r>
    </w:p>
    <w:p>
      <w:pPr>
        <w:spacing w:line="480" w:lineRule="auto"/>
        <w:ind w:hanging="720" w:left="720"/>
      </w:pPr>
      <w:r>
        <w:rPr>
          <w:rFonts w:ascii="Times New Roman" w:hAnsi="Times New Roman"/>
          <w:sz w:val="24"/>
        </w:rPr>
        <w:t xml:space="preserve">Maldonado, L. G., Kim, K., &amp; Threeton, M. D. (2021). An application of Holland's theory to career interests and selected careers of Automotive Technology students. </w:t>
      </w:r>
      <w:r>
        <w:rPr>
          <w:rFonts w:ascii="Times New Roman" w:hAnsi="Times New Roman"/>
          <w:i/>
          <w:sz w:val="24"/>
        </w:rPr>
        <w:t>Journal of Career and Technical Education, 35</w:t>
      </w:r>
      <w:r>
        <w:rPr>
          <w:rFonts w:ascii="Times New Roman" w:hAnsi="Times New Roman"/>
          <w:sz w:val="24"/>
        </w:rPr>
        <w:t>(1), 36–54. https://doi.org/10.21061/jcte.v35i1.a3</w:t>
      </w:r>
    </w:p>
    <w:p>
      <w:pPr>
        <w:spacing w:line="480" w:lineRule="auto"/>
        <w:ind w:hanging="720" w:left="720"/>
      </w:pPr>
      <w:r>
        <w:rPr>
          <w:rFonts w:ascii="Times New Roman" w:hAnsi="Times New Roman"/>
          <w:sz w:val="24"/>
        </w:rPr>
        <w:t xml:space="preserve">Mukhalalati, B. A., &amp; Taylor, A. (2019). Adult learning theories in context: A quick guide for healthcare professional educators. </w:t>
      </w:r>
      <w:r>
        <w:rPr>
          <w:rFonts w:ascii="Times New Roman" w:hAnsi="Times New Roman"/>
          <w:i/>
          <w:sz w:val="24"/>
        </w:rPr>
        <w:t>Journal of Medical Education and Curricular Development, 6</w:t>
      </w:r>
      <w:r>
        <w:rPr>
          <w:rFonts w:ascii="Times New Roman" w:hAnsi="Times New Roman"/>
          <w:sz w:val="24"/>
        </w:rPr>
        <w:t>. https://doi.org/10.1177/2382120519840332</w:t>
      </w:r>
    </w:p>
    <w:p>
      <w:pPr>
        <w:spacing w:line="480" w:lineRule="auto"/>
        <w:ind w:hanging="720" w:left="720"/>
      </w:pPr>
      <w:r>
        <w:rPr>
          <w:rFonts w:ascii="Times New Roman" w:hAnsi="Times New Roman"/>
          <w:sz w:val="24"/>
        </w:rPr>
        <w:t xml:space="preserve">St. Clair, R. (2024). Andragogy: Past and present potential. </w:t>
      </w:r>
      <w:r>
        <w:rPr>
          <w:rFonts w:ascii="Times New Roman" w:hAnsi="Times New Roman"/>
          <w:i/>
          <w:sz w:val="24"/>
        </w:rPr>
        <w:t>New Directions for Adult and Continuing Education, 2024</w:t>
      </w:r>
      <w:r>
        <w:rPr>
          <w:rFonts w:ascii="Times New Roman" w:hAnsi="Times New Roman"/>
          <w:sz w:val="24"/>
        </w:rPr>
        <w:t>(184), 7–13. https://doi.org/10.1002/ace.20546</w:t>
      </w:r>
    </w:p>
    <w:p>
      <w:pPr>
        <w:spacing w:line="480" w:lineRule="auto"/>
        <w:ind w:hanging="720" w:left="720"/>
      </w:pPr>
      <w:r>
        <w:rPr>
          <w:rFonts w:ascii="Times New Roman" w:hAnsi="Times New Roman"/>
          <w:sz w:val="24"/>
        </w:rPr>
        <w:t xml:space="preserve">Winne, P. H. (2022). Modeling self-regulated learning as learners doing learning science: How trace data and learning analytics help develop skills for self-regulated learning. </w:t>
      </w:r>
      <w:r>
        <w:rPr>
          <w:rFonts w:ascii="Times New Roman" w:hAnsi="Times New Roman"/>
          <w:i/>
          <w:sz w:val="24"/>
        </w:rPr>
        <w:t>Metacognition and Learning, 17</w:t>
      </w:r>
      <w:r>
        <w:rPr>
          <w:rFonts w:ascii="Times New Roman" w:hAnsi="Times New Roman"/>
          <w:sz w:val="24"/>
        </w:rPr>
        <w:t>, 773–791. https://doi.org/10.1007/s11409-022-09305-y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