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Automotive &amp; Diesel LMS – Implementation-Level Execution Plan</w:t>
      </w:r>
    </w:p>
    <w:p>
      <w:r>
        <w:t>This document represents the true implementation phase of the Automotive &amp; Diesel LMS. It translates approved curriculum and architecture into deployable, LMS-ready assets. All steps outlined here are actionable and can be executed sequentially or in parallel.</w:t>
      </w:r>
    </w:p>
    <w:p>
      <w:pPr>
        <w:pStyle w:val="Heading2"/>
      </w:pPr>
      <w:r>
        <w:t>1. Course-by-Course DOCX Generation (Operational)</w:t>
      </w:r>
    </w:p>
    <w:p>
      <w:r>
        <w:t>Each course will be instantiated as an individual DOCX file using the approved syllabus and instructional templates.</w:t>
        <w:br/>
        <w:br/>
        <w:t>Each course DOCX will include:</w:t>
        <w:br/>
        <w:t>• Official syllabus</w:t>
        <w:br/>
        <w:t>• Weekly module breakdown</w:t>
        <w:br/>
        <w:t>• Lesson objectives and content outlines</w:t>
        <w:br/>
        <w:t>• Practice quizzes and exams</w:t>
        <w:br/>
        <w:t>• Virtual lab descriptions</w:t>
        <w:br/>
        <w:br/>
        <w:t>These documents are suitable for faculty handbooks, accreditation files, and LMS reference.</w:t>
      </w:r>
    </w:p>
    <w:p>
      <w:pPr>
        <w:pStyle w:val="Heading2"/>
      </w:pPr>
      <w:r>
        <w:t>2. ASE Question Bank Production</w:t>
      </w:r>
    </w:p>
    <w:p>
      <w:r>
        <w:t>ASE-aligned question banks will be generated per course and system area.</w:t>
        <w:br/>
        <w:br/>
        <w:t>Implementation steps:</w:t>
        <w:br/>
        <w:t>• Parse ASE task lists</w:t>
        <w:br/>
        <w:t>• Generate question pools (300–500 items per major area)</w:t>
        <w:br/>
        <w:t>• Validate against learning outcomes</w:t>
        <w:br/>
        <w:t>• Export to CSV and Moodle XML formats</w:t>
        <w:br/>
        <w:br/>
        <w:t>Question types include theory, diagnostics, and image-based identification.</w:t>
      </w:r>
    </w:p>
    <w:p>
      <w:pPr>
        <w:pStyle w:val="Heading2"/>
      </w:pPr>
      <w:r>
        <w:t>3. LMS Auto-Seeding (Moodle / Custom LMS)</w:t>
      </w:r>
    </w:p>
    <w:p>
      <w:r>
        <w:t>Automated scripts will populate the LMS with approved content.</w:t>
        <w:br/>
        <w:br/>
        <w:t>Auto-seeding actions:</w:t>
        <w:br/>
        <w:t>• Create course shells</w:t>
        <w:br/>
        <w:t>• Create modules and lessons</w:t>
        <w:br/>
        <w:t>• Import question banks</w:t>
        <w:br/>
        <w:t>• Attach media and thumbnails</w:t>
        <w:br/>
        <w:t>• Assign competencies and grading</w:t>
        <w:br/>
        <w:br/>
        <w:t>Instructor approval checkpoints are enforced before publishing.</w:t>
      </w:r>
    </w:p>
    <w:p>
      <w:pPr>
        <w:pStyle w:val="Heading2"/>
      </w:pPr>
      <w:r>
        <w:t>4. Virtual Lab Scenario Implementation</w:t>
      </w:r>
    </w:p>
    <w:p>
      <w:r>
        <w:t>Virtual lab scenarios will be implemented using Blender and Unity.</w:t>
        <w:br/>
        <w:br/>
        <w:t>Scenario components:</w:t>
        <w:br/>
        <w:t>• Vehicle systems models</w:t>
        <w:br/>
        <w:t>• Injected faults</w:t>
        <w:br/>
        <w:t>• Diagnostic data streams</w:t>
        <w:br/>
        <w:t>• Performance scoring</w:t>
        <w:br/>
        <w:br/>
        <w:t>Labs are mapped directly to course outcomes and assessments.</w:t>
      </w:r>
    </w:p>
    <w:p>
      <w:pPr>
        <w:pStyle w:val="Heading2"/>
      </w:pPr>
      <w:r>
        <w:t>5. State / Institutional Submission Packet</w:t>
      </w:r>
    </w:p>
    <w:p>
      <w:r>
        <w:t>A formal submission packet will be assembled for institutional or state approval.</w:t>
        <w:br/>
        <w:br/>
        <w:t>Packet contents:</w:t>
        <w:br/>
        <w:t>• Program description and outcomes</w:t>
        <w:br/>
        <w:t>• Course catalog and syllabi</w:t>
        <w:br/>
        <w:t>• Assessment and competency maps</w:t>
        <w:br/>
        <w:t>• Technology and AI usage justification</w:t>
        <w:br/>
        <w:t>• Faculty qualification alignment</w:t>
        <w:br/>
        <w:br/>
        <w:t>Language is aligned with KSDE / Perkins V expectations.</w:t>
      </w:r>
    </w:p>
    <w:p>
      <w:pPr>
        <w:pStyle w:val="Heading2"/>
      </w:pPr>
      <w:r>
        <w:t>6. Execution Timeline</w:t>
      </w:r>
    </w:p>
    <w:p>
      <w:r>
        <w:t>Phase 1 (30 days): Course DOCX + question banks</w:t>
        <w:br/>
        <w:t>Phase 2 (60 days): LMS auto-seeding + virtual labs</w:t>
        <w:br/>
        <w:t>Phase 3 (90 days): Pilot delivery and state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