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Automotive &amp; Diesel LMS – High-Impact Expansion Package</w:t>
      </w:r>
    </w:p>
    <w:p>
      <w:r>
        <w:t>This document delivers the next high-impact expansion steps for the Automotive &amp; Diesel LMS. It includes course-level instantiation guidance, ASE-aligned assessment frameworks, semester lesson planning, Perkins/KSDE narrative language, and LMS automation readiness.</w:t>
      </w:r>
    </w:p>
    <w:p>
      <w:pPr>
        <w:pStyle w:val="Heading2"/>
      </w:pPr>
      <w:r>
        <w:t>1. Individual Course Document Generation</w:t>
      </w:r>
    </w:p>
    <w:p>
      <w:r>
        <w:t>Each course in the catalog is intended to be deployed as its own DOCX file derived from the Master Instructional Package. Each course document contains:</w:t>
        <w:br/>
        <w:t>• Course-specific syllabus</w:t>
        <w:br/>
        <w:t>• Weekly module breakdown (8–16 weeks)</w:t>
        <w:br/>
        <w:t>• Lesson objectives and activities</w:t>
        <w:br/>
        <w:t>• Practice quizzes and exams</w:t>
        <w:br/>
        <w:t>• Virtual lab descriptions</w:t>
        <w:br/>
        <w:br/>
        <w:t>This approach meets accreditation expectations while remaining manageable for instructors.</w:t>
      </w:r>
    </w:p>
    <w:p>
      <w:pPr>
        <w:pStyle w:val="Heading2"/>
      </w:pPr>
      <w:r>
        <w:t>2. ASE-Aligned Question Bank Framework</w:t>
      </w:r>
    </w:p>
    <w:p>
      <w:r>
        <w:t>Question banks are structured directly from ASE task lists and organized by system. Each bank includes:</w:t>
        <w:br/>
        <w:t>• Knowledge-based multiple-choice questions</w:t>
        <w:br/>
        <w:t>• Diagnostic scenario questions</w:t>
        <w:br/>
        <w:t>• Image-based fault identification</w:t>
        <w:br/>
        <w:br/>
        <w:t>Banks are exportable as CSV or XML for LMS import (e.g., Moodle).</w:t>
      </w:r>
    </w:p>
    <w:p>
      <w:pPr>
        <w:pStyle w:val="Heading2"/>
      </w:pPr>
      <w:r>
        <w:t>3. Standard 16-Week Lesson Plan Model</w:t>
      </w:r>
    </w:p>
    <w:p>
      <w:r>
        <w:t>Courses follow a 16-week semester model adaptable to accelerated formats.</w:t>
        <w:br/>
        <w:br/>
        <w:t>Weeks 1–2: Safety, fundamentals, theory</w:t>
        <w:br/>
        <w:t>Weeks 3–6: Core system operation</w:t>
        <w:br/>
        <w:t>Weeks 7–8: Diagnostics and midterm assessment</w:t>
        <w:br/>
        <w:t>Weeks 9–13: Advanced scenarios and labs</w:t>
        <w:br/>
        <w:t>Weeks 14–15: Applied projects</w:t>
        <w:br/>
        <w:t>Week 16: Final exam and capstone assessment</w:t>
      </w:r>
    </w:p>
    <w:p>
      <w:pPr>
        <w:pStyle w:val="Heading2"/>
      </w:pPr>
      <w:r>
        <w:t>4. Perkins V / KSDE Compliance Narrative</w:t>
      </w:r>
    </w:p>
    <w:p>
      <w:r>
        <w:t>The Automotive &amp; Diesel LMS supports Perkins V and KSDE requirements by:</w:t>
        <w:br/>
        <w:t>• Aligning curriculum to industry-recognized standards (ASE, EV safety)</w:t>
        <w:br/>
        <w:t>• Supporting work-based and simulated learning experiences</w:t>
        <w:br/>
        <w:t>• Providing measurable student outcomes and competency tracking</w:t>
        <w:br/>
        <w:t>• Ensuring accessibility and equitable access through online delivery</w:t>
        <w:br/>
        <w:br/>
        <w:t>AI-assisted tools enhance instruction while maintaining instructor oversight.</w:t>
      </w:r>
    </w:p>
    <w:p>
      <w:pPr>
        <w:pStyle w:val="Heading2"/>
      </w:pPr>
      <w:r>
        <w:t>5. LMS Automation &amp; AI Pipeline Readiness</w:t>
      </w:r>
    </w:p>
    <w:p>
      <w:r>
        <w:t>The platform is designed for automated content generation and deployment:</w:t>
        <w:br/>
        <w:t>• Ollama generates lesson drafts, quizzes, and remediation</w:t>
        <w:br/>
        <w:t>• Stable Diffusion generates instructional visuals</w:t>
        <w:br/>
        <w:t>• Scripts populate LMS courses, modules, and question banks</w:t>
        <w:br/>
        <w:t>• Instructors approve content before student release</w:t>
        <w:br/>
        <w:br/>
        <w:t>This enables rapid scaling while maintaining instructional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