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t>Village Strong and FAMILY Foundation Course Catalog</w:t>
      </w:r>
    </w:p>
    <w:p>
      <w:pPr>
        <w:jc w:val="center"/>
      </w:pPr>
      <w:r>
        <w:rPr>
          <w:b/>
          <w:sz w:val="30"/>
        </w:rPr>
        <w:t>Proposed Noncredit Educational Programs</w:t>
      </w:r>
    </w:p>
    <w:p>
      <w:pPr>
        <w:jc w:val="center"/>
      </w:pPr>
      <w:r>
        <w:rPr>
          <w:b/>
          <w:sz w:val="28"/>
        </w:rPr>
        <w:t>2026 to 2027</w:t>
      </w:r>
    </w:p>
    <w:p>
      <w:r>
        <w:br/>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016"/>
            <w:shd w:fill="17365D"/>
            <w:tcMar>
              <w:top w:w="110" w:type="dxa"/>
              <w:start w:w="120" w:type="dxa"/>
              <w:bottom w:w="110" w:type="dxa"/>
              <w:end w:w="120" w:type="dxa"/>
            </w:tcMar>
            <w:vAlign w:val="center"/>
          </w:tcPr>
          <w:p>
            <w:pPr>
              <w:jc w:val="center"/>
            </w:pPr>
            <w:r>
              <w:rPr>
                <w:b/>
                <w:color w:val="FFFFFF"/>
                <w:sz w:val="19"/>
              </w:rPr>
              <w:t>Program</w:t>
            </w:r>
          </w:p>
        </w:tc>
        <w:tc>
          <w:tcPr>
            <w:tcW w:type="dxa" w:w="3096"/>
            <w:shd w:fill="17365D"/>
            <w:tcMar>
              <w:top w:w="110" w:type="dxa"/>
              <w:start w:w="120" w:type="dxa"/>
              <w:bottom w:w="110" w:type="dxa"/>
              <w:end w:w="120" w:type="dxa"/>
            </w:tcMar>
            <w:vAlign w:val="center"/>
          </w:tcPr>
          <w:p>
            <w:pPr>
              <w:jc w:val="center"/>
            </w:pPr>
            <w:r>
              <w:rPr>
                <w:b/>
                <w:color w:val="FFFFFF"/>
                <w:sz w:val="19"/>
              </w:rPr>
              <w:t>Subject classification</w:t>
            </w:r>
          </w:p>
        </w:tc>
        <w:tc>
          <w:tcPr>
            <w:tcW w:type="dxa" w:w="4824"/>
            <w:shd w:fill="17365D"/>
            <w:tcMar>
              <w:top w:w="110" w:type="dxa"/>
              <w:start w:w="120" w:type="dxa"/>
              <w:bottom w:w="110" w:type="dxa"/>
              <w:end w:w="120" w:type="dxa"/>
            </w:tcMar>
            <w:vAlign w:val="center"/>
          </w:tcPr>
          <w:p>
            <w:pPr>
              <w:jc w:val="center"/>
            </w:pPr>
            <w:r>
              <w:rPr>
                <w:b/>
                <w:color w:val="FFFFFF"/>
                <w:sz w:val="19"/>
              </w:rPr>
              <w:t>CIP alignment</w:t>
            </w:r>
          </w:p>
        </w:tc>
      </w:tr>
      <w:tr>
        <w:trPr>
          <w:cantSplit/>
        </w:trPr>
        <w:tc>
          <w:tcPr>
            <w:tcW w:type="dxa" w:w="2016"/>
            <w:tcMar>
              <w:top w:w="110" w:type="dxa"/>
              <w:start w:w="120" w:type="dxa"/>
              <w:bottom w:w="110" w:type="dxa"/>
              <w:end w:w="120" w:type="dxa"/>
            </w:tcMar>
            <w:vAlign w:val="center"/>
          </w:tcPr>
          <w:p>
            <w:pPr>
              <w:spacing w:after="0" w:line="252" w:lineRule="auto"/>
            </w:pPr>
            <w:r>
              <w:rPr>
                <w:b/>
                <w:sz w:val="18"/>
              </w:rPr>
              <w:t>Village Strong</w:t>
            </w:r>
          </w:p>
        </w:tc>
        <w:tc>
          <w:tcPr>
            <w:tcW w:type="dxa" w:w="3096"/>
            <w:tcMar>
              <w:top w:w="110" w:type="dxa"/>
              <w:start w:w="120" w:type="dxa"/>
              <w:bottom w:w="110" w:type="dxa"/>
              <w:end w:w="120" w:type="dxa"/>
            </w:tcMar>
            <w:vAlign w:val="center"/>
          </w:tcPr>
          <w:p>
            <w:pPr>
              <w:spacing w:after="0" w:line="252" w:lineRule="auto"/>
            </w:pPr>
            <w:r>
              <w:rPr>
                <w:sz w:val="18"/>
              </w:rPr>
              <w:t>Human and child development</w:t>
            </w:r>
          </w:p>
        </w:tc>
        <w:tc>
          <w:tcPr>
            <w:tcW w:type="dxa" w:w="4824"/>
            <w:tcMar>
              <w:top w:w="110" w:type="dxa"/>
              <w:start w:w="120" w:type="dxa"/>
              <w:bottom w:w="110" w:type="dxa"/>
              <w:end w:w="120" w:type="dxa"/>
            </w:tcMar>
            <w:vAlign w:val="center"/>
          </w:tcPr>
          <w:p>
            <w:pPr>
              <w:spacing w:after="0" w:line="252" w:lineRule="auto"/>
            </w:pPr>
            <w:r>
              <w:rPr>
                <w:sz w:val="18"/>
              </w:rPr>
              <w:t>19.0701 Human Development and Family Studies General</w:t>
            </w:r>
          </w:p>
        </w:tc>
      </w:tr>
      <w:tr>
        <w:trPr>
          <w:cantSplit/>
        </w:trPr>
        <w:tc>
          <w:tcPr>
            <w:tcW w:type="dxa" w:w="2016"/>
            <w:tcMar>
              <w:top w:w="110" w:type="dxa"/>
              <w:start w:w="120" w:type="dxa"/>
              <w:bottom w:w="110" w:type="dxa"/>
              <w:end w:w="120" w:type="dxa"/>
            </w:tcMar>
            <w:vAlign w:val="center"/>
            <w:shd w:fill="F4F7FA"/>
          </w:tcPr>
          <w:p>
            <w:pPr>
              <w:spacing w:after="0" w:line="252" w:lineRule="auto"/>
            </w:pPr>
            <w:r>
              <w:rPr>
                <w:b/>
                <w:sz w:val="18"/>
              </w:rPr>
              <w:t>FAMILY</w:t>
            </w:r>
          </w:p>
        </w:tc>
        <w:tc>
          <w:tcPr>
            <w:tcW w:type="dxa" w:w="3096"/>
            <w:tcMar>
              <w:top w:w="110" w:type="dxa"/>
              <w:start w:w="120" w:type="dxa"/>
              <w:bottom w:w="110" w:type="dxa"/>
              <w:end w:w="120" w:type="dxa"/>
            </w:tcMar>
            <w:vAlign w:val="center"/>
            <w:shd w:fill="F4F7FA"/>
          </w:tcPr>
          <w:p>
            <w:pPr>
              <w:spacing w:after="0" w:line="252" w:lineRule="auto"/>
            </w:pPr>
            <w:r>
              <w:rPr>
                <w:sz w:val="18"/>
              </w:rPr>
              <w:t>Fatherhood Science and parent education</w:t>
            </w:r>
          </w:p>
        </w:tc>
        <w:tc>
          <w:tcPr>
            <w:tcW w:type="dxa" w:w="4824"/>
            <w:tcMar>
              <w:top w:w="110" w:type="dxa"/>
              <w:start w:w="120" w:type="dxa"/>
              <w:bottom w:w="110" w:type="dxa"/>
              <w:end w:w="120" w:type="dxa"/>
            </w:tcMar>
            <w:vAlign w:val="center"/>
            <w:shd w:fill="F4F7FA"/>
          </w:tcPr>
          <w:p>
            <w:pPr>
              <w:spacing w:after="0" w:line="252" w:lineRule="auto"/>
            </w:pPr>
            <w:r>
              <w:rPr>
                <w:sz w:val="18"/>
              </w:rPr>
              <w:t>19.0712 Parent Education Services</w:t>
            </w:r>
          </w:p>
        </w:tc>
      </w:tr>
    </w:tbl>
    <w:p>
      <w:pPr>
        <w:spacing w:after="0"/>
      </w:pPr>
    </w:p>
    <w:p>
      <w:pPr>
        <w:spacing w:before="360"/>
        <w:jc w:val="center"/>
      </w:pPr>
      <w:hyperlink r:id="rId9">
        <w:r>
          <w:rPr>
            <w:color w:val="0563C1"/>
            <w:u w:val="single"/>
          </w:rPr>
          <w:t>villagestrongfoundation.org</w:t>
        </w:r>
      </w:hyperlink>
    </w:p>
    <w:p>
      <w:pPr>
        <w:jc w:val="center"/>
      </w:pPr>
      <w:r>
        <w:rPr>
          <w:color w:val="666666"/>
          <w:sz w:val="19"/>
        </w:rPr>
        <w:t>Prepared September 2026</w:t>
      </w:r>
    </w:p>
    <w:p>
      <w:r>
        <w:br w:type="page"/>
      </w:r>
    </w:p>
    <w:p>
      <w:pPr>
        <w:pStyle w:val="Heading1"/>
      </w:pPr>
      <w:r>
        <w:t>Catalog purpose and status</w:t>
      </w:r>
    </w:p>
    <w:p>
      <w:r>
        <w:t>This catalog presents the proposed noncredit course structure for the Village Strong and FAMILY programs. Village Strong addresses human and child development from birth through age 18. FAMILY addresses fatherhood, parent education, and father child relationships. Courses may be offered individually or as a complete program sequence.</w:t>
      </w:r>
    </w:p>
    <w:p>
      <w:r>
        <w:t>The CIP codes in this catalog identify the instructional subject matter. They do not represent accreditation, Kentucky Council on Postsecondary Education approval, academic credit, professional licensure, or authority to confer a degree. Any future credit bearing or credential bearing offering will require a separate review of applicable authorization, licensure, institutional partnership, and consumer disclosure requirements.</w:t>
      </w:r>
    </w:p>
    <w:p>
      <w:pPr>
        <w:pStyle w:val="Heading1"/>
      </w:pPr>
      <w:r>
        <w:t>Organization and learner protections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376"/>
            <w:shd w:fill="17365D"/>
            <w:tcMar>
              <w:top w:w="110" w:type="dxa"/>
              <w:start w:w="120" w:type="dxa"/>
              <w:bottom w:w="110" w:type="dxa"/>
              <w:end w:w="120" w:type="dxa"/>
            </w:tcMar>
            <w:vAlign w:val="center"/>
          </w:tcPr>
          <w:p>
            <w:pPr>
              <w:jc w:val="center"/>
            </w:pPr>
            <w:r>
              <w:rPr>
                <w:b/>
                <w:color w:val="FFFFFF"/>
                <w:sz w:val="19"/>
              </w:rPr>
              <w:t>Catalog item</w:t>
            </w:r>
          </w:p>
        </w:tc>
        <w:tc>
          <w:tcPr>
            <w:tcW w:type="dxa" w:w="7560"/>
            <w:shd w:fill="17365D"/>
            <w:tcMar>
              <w:top w:w="110" w:type="dxa"/>
              <w:start w:w="120" w:type="dxa"/>
              <w:bottom w:w="110" w:type="dxa"/>
              <w:end w:w="120" w:type="dxa"/>
            </w:tcMar>
            <w:vAlign w:val="center"/>
          </w:tcPr>
          <w:p>
            <w:pPr>
              <w:jc w:val="center"/>
            </w:pPr>
            <w:r>
              <w:rPr>
                <w:b/>
                <w:color w:val="FFFFFF"/>
                <w:sz w:val="19"/>
              </w:rPr>
              <w:t>Current proposed practice</w:t>
            </w:r>
          </w:p>
        </w:tc>
      </w:tr>
      <w:tr>
        <w:trPr>
          <w:cantSplit/>
        </w:trPr>
        <w:tc>
          <w:tcPr>
            <w:tcW w:type="dxa" w:w="2376"/>
            <w:tcMar>
              <w:top w:w="110" w:type="dxa"/>
              <w:start w:w="120" w:type="dxa"/>
              <w:bottom w:w="110" w:type="dxa"/>
              <w:end w:w="120" w:type="dxa"/>
            </w:tcMar>
            <w:vAlign w:val="center"/>
          </w:tcPr>
          <w:p>
            <w:pPr>
              <w:spacing w:after="0" w:line="252" w:lineRule="auto"/>
            </w:pPr>
            <w:r>
              <w:rPr>
                <w:b/>
                <w:sz w:val="18"/>
              </w:rPr>
              <w:t>Provider</w:t>
            </w:r>
          </w:p>
        </w:tc>
        <w:tc>
          <w:tcPr>
            <w:tcW w:type="dxa" w:w="7560"/>
            <w:tcMar>
              <w:top w:w="110" w:type="dxa"/>
              <w:start w:w="120" w:type="dxa"/>
              <w:bottom w:w="110" w:type="dxa"/>
              <w:end w:w="120" w:type="dxa"/>
            </w:tcMar>
            <w:vAlign w:val="center"/>
          </w:tcPr>
          <w:p>
            <w:pPr>
              <w:spacing w:after="0" w:line="252" w:lineRule="auto"/>
            </w:pPr>
            <w:r>
              <w:rPr>
                <w:sz w:val="18"/>
              </w:rPr>
              <w:t>Village Strong and FAMILY Foundation</w:t>
            </w:r>
          </w:p>
        </w:tc>
      </w:tr>
      <w:tr>
        <w:trPr>
          <w:cantSplit/>
        </w:trPr>
        <w:tc>
          <w:tcPr>
            <w:tcW w:type="dxa" w:w="2376"/>
            <w:tcMar>
              <w:top w:w="110" w:type="dxa"/>
              <w:start w:w="120" w:type="dxa"/>
              <w:bottom w:w="110" w:type="dxa"/>
              <w:end w:w="120" w:type="dxa"/>
            </w:tcMar>
            <w:vAlign w:val="center"/>
            <w:shd w:fill="F4F7FA"/>
          </w:tcPr>
          <w:p>
            <w:pPr>
              <w:spacing w:after="0" w:line="252" w:lineRule="auto"/>
            </w:pPr>
            <w:r>
              <w:rPr>
                <w:b/>
                <w:sz w:val="18"/>
              </w:rPr>
              <w:t>Delivery</w:t>
            </w:r>
          </w:p>
        </w:tc>
        <w:tc>
          <w:tcPr>
            <w:tcW w:type="dxa" w:w="7560"/>
            <w:tcMar>
              <w:top w:w="110" w:type="dxa"/>
              <w:start w:w="120" w:type="dxa"/>
              <w:bottom w:w="110" w:type="dxa"/>
              <w:end w:w="120" w:type="dxa"/>
            </w:tcMar>
            <w:vAlign w:val="center"/>
            <w:shd w:fill="F4F7FA"/>
          </w:tcPr>
          <w:p>
            <w:pPr>
              <w:spacing w:after="0" w:line="252" w:lineRule="auto"/>
            </w:pPr>
            <w:r>
              <w:rPr>
                <w:sz w:val="18"/>
              </w:rPr>
              <w:t>Online asynchronous instruction with optional facilitated discussion or community workshops</w:t>
            </w:r>
          </w:p>
        </w:tc>
      </w:tr>
      <w:tr>
        <w:trPr>
          <w:cantSplit/>
        </w:trPr>
        <w:tc>
          <w:tcPr>
            <w:tcW w:type="dxa" w:w="2376"/>
            <w:tcMar>
              <w:top w:w="110" w:type="dxa"/>
              <w:start w:w="120" w:type="dxa"/>
              <w:bottom w:w="110" w:type="dxa"/>
              <w:end w:w="120" w:type="dxa"/>
            </w:tcMar>
            <w:vAlign w:val="center"/>
          </w:tcPr>
          <w:p>
            <w:pPr>
              <w:spacing w:after="0" w:line="252" w:lineRule="auto"/>
            </w:pPr>
            <w:r>
              <w:rPr>
                <w:b/>
                <w:sz w:val="18"/>
              </w:rPr>
              <w:t>Award</w:t>
            </w:r>
          </w:p>
        </w:tc>
        <w:tc>
          <w:tcPr>
            <w:tcW w:type="dxa" w:w="7560"/>
            <w:tcMar>
              <w:top w:w="110" w:type="dxa"/>
              <w:start w:w="120" w:type="dxa"/>
              <w:bottom w:w="110" w:type="dxa"/>
              <w:end w:w="120" w:type="dxa"/>
            </w:tcMar>
            <w:vAlign w:val="center"/>
          </w:tcPr>
          <w:p>
            <w:pPr>
              <w:spacing w:after="0" w:line="252" w:lineRule="auto"/>
            </w:pPr>
            <w:r>
              <w:rPr>
                <w:sz w:val="18"/>
              </w:rPr>
              <w:t>Noncredit record of completion only; no academic credit, degree, license, or professional certification</w:t>
            </w:r>
          </w:p>
        </w:tc>
      </w:tr>
      <w:tr>
        <w:trPr>
          <w:cantSplit/>
        </w:trPr>
        <w:tc>
          <w:tcPr>
            <w:tcW w:type="dxa" w:w="2376"/>
            <w:tcMar>
              <w:top w:w="110" w:type="dxa"/>
              <w:start w:w="120" w:type="dxa"/>
              <w:bottom w:w="110" w:type="dxa"/>
              <w:end w:w="120" w:type="dxa"/>
            </w:tcMar>
            <w:vAlign w:val="center"/>
            <w:shd w:fill="F4F7FA"/>
          </w:tcPr>
          <w:p>
            <w:pPr>
              <w:spacing w:after="0" w:line="252" w:lineRule="auto"/>
            </w:pPr>
            <w:r>
              <w:rPr>
                <w:b/>
                <w:sz w:val="18"/>
              </w:rPr>
              <w:t>Assessment</w:t>
            </w:r>
          </w:p>
        </w:tc>
        <w:tc>
          <w:tcPr>
            <w:tcW w:type="dxa" w:w="7560"/>
            <w:tcMar>
              <w:top w:w="110" w:type="dxa"/>
              <w:start w:w="120" w:type="dxa"/>
              <w:bottom w:w="110" w:type="dxa"/>
              <w:end w:w="120" w:type="dxa"/>
            </w:tcMar>
            <w:vAlign w:val="center"/>
            <w:shd w:fill="F4F7FA"/>
          </w:tcPr>
          <w:p>
            <w:pPr>
              <w:spacing w:after="0" w:line="252" w:lineRule="auto"/>
            </w:pPr>
            <w:r>
              <w:rPr>
                <w:sz w:val="18"/>
              </w:rPr>
              <w:t>Knowledge checks, reflections, applied activities, and a final portfolio or action plan</w:t>
            </w:r>
          </w:p>
        </w:tc>
      </w:tr>
      <w:tr>
        <w:trPr>
          <w:cantSplit/>
        </w:trPr>
        <w:tc>
          <w:tcPr>
            <w:tcW w:type="dxa" w:w="2376"/>
            <w:tcMar>
              <w:top w:w="110" w:type="dxa"/>
              <w:start w:w="120" w:type="dxa"/>
              <w:bottom w:w="110" w:type="dxa"/>
              <w:end w:w="120" w:type="dxa"/>
            </w:tcMar>
            <w:vAlign w:val="center"/>
          </w:tcPr>
          <w:p>
            <w:pPr>
              <w:spacing w:after="0" w:line="252" w:lineRule="auto"/>
            </w:pPr>
            <w:r>
              <w:rPr>
                <w:b/>
                <w:sz w:val="18"/>
              </w:rPr>
              <w:t>Completion standard</w:t>
            </w:r>
          </w:p>
        </w:tc>
        <w:tc>
          <w:tcPr>
            <w:tcW w:type="dxa" w:w="7560"/>
            <w:tcMar>
              <w:top w:w="110" w:type="dxa"/>
              <w:start w:w="120" w:type="dxa"/>
              <w:bottom w:w="110" w:type="dxa"/>
              <w:end w:w="120" w:type="dxa"/>
            </w:tcMar>
            <w:vAlign w:val="center"/>
          </w:tcPr>
          <w:p>
            <w:pPr>
              <w:spacing w:after="0" w:line="252" w:lineRule="auto"/>
            </w:pPr>
            <w:r>
              <w:rPr>
                <w:sz w:val="18"/>
              </w:rPr>
              <w:t>Complete required activities and earn at least 80 percent on knowledge checks when used</w:t>
            </w:r>
          </w:p>
        </w:tc>
      </w:tr>
      <w:tr>
        <w:trPr>
          <w:cantSplit/>
        </w:trPr>
        <w:tc>
          <w:tcPr>
            <w:tcW w:type="dxa" w:w="2376"/>
            <w:tcMar>
              <w:top w:w="110" w:type="dxa"/>
              <w:start w:w="120" w:type="dxa"/>
              <w:bottom w:w="110" w:type="dxa"/>
              <w:end w:w="120" w:type="dxa"/>
            </w:tcMar>
            <w:vAlign w:val="center"/>
            <w:shd w:fill="F4F7FA"/>
          </w:tcPr>
          <w:p>
            <w:pPr>
              <w:spacing w:after="0" w:line="252" w:lineRule="auto"/>
            </w:pPr>
            <w:r>
              <w:rPr>
                <w:b/>
                <w:sz w:val="18"/>
              </w:rPr>
              <w:t>Accessibility</w:t>
            </w:r>
          </w:p>
        </w:tc>
        <w:tc>
          <w:tcPr>
            <w:tcW w:type="dxa" w:w="7560"/>
            <w:tcMar>
              <w:top w:w="110" w:type="dxa"/>
              <w:start w:w="120" w:type="dxa"/>
              <w:bottom w:w="110" w:type="dxa"/>
              <w:end w:w="120" w:type="dxa"/>
            </w:tcMar>
            <w:vAlign w:val="center"/>
            <w:shd w:fill="F4F7FA"/>
          </w:tcPr>
          <w:p>
            <w:pPr>
              <w:spacing w:after="0" w:line="252" w:lineRule="auto"/>
            </w:pPr>
            <w:r>
              <w:rPr>
                <w:sz w:val="18"/>
              </w:rPr>
              <w:t>Materials should follow WCAG aligned practices and provide accessible alternatives for multimedia</w:t>
            </w:r>
          </w:p>
        </w:tc>
      </w:tr>
      <w:tr>
        <w:trPr>
          <w:cantSplit/>
        </w:trPr>
        <w:tc>
          <w:tcPr>
            <w:tcW w:type="dxa" w:w="2376"/>
            <w:tcMar>
              <w:top w:w="110" w:type="dxa"/>
              <w:start w:w="120" w:type="dxa"/>
              <w:bottom w:w="110" w:type="dxa"/>
              <w:end w:w="120" w:type="dxa"/>
            </w:tcMar>
            <w:vAlign w:val="center"/>
          </w:tcPr>
          <w:p>
            <w:pPr>
              <w:spacing w:after="0" w:line="252" w:lineRule="auto"/>
            </w:pPr>
            <w:r>
              <w:rPr>
                <w:b/>
                <w:sz w:val="18"/>
              </w:rPr>
              <w:t>Learner privacy</w:t>
            </w:r>
          </w:p>
        </w:tc>
        <w:tc>
          <w:tcPr>
            <w:tcW w:type="dxa" w:w="7560"/>
            <w:tcMar>
              <w:top w:w="110" w:type="dxa"/>
              <w:start w:w="120" w:type="dxa"/>
              <w:bottom w:w="110" w:type="dxa"/>
              <w:end w:w="120" w:type="dxa"/>
            </w:tcMar>
            <w:vAlign w:val="center"/>
          </w:tcPr>
          <w:p>
            <w:pPr>
              <w:spacing w:after="0" w:line="252" w:lineRule="auto"/>
            </w:pPr>
            <w:r>
              <w:rPr>
                <w:sz w:val="18"/>
              </w:rPr>
              <w:t>Collect only information necessary for participation and apply published privacy and retention policies</w:t>
            </w:r>
          </w:p>
        </w:tc>
      </w:tr>
      <w:tr>
        <w:trPr>
          <w:cantSplit/>
        </w:trPr>
        <w:tc>
          <w:tcPr>
            <w:tcW w:type="dxa" w:w="2376"/>
            <w:tcMar>
              <w:top w:w="110" w:type="dxa"/>
              <w:start w:w="120" w:type="dxa"/>
              <w:bottom w:w="110" w:type="dxa"/>
              <w:end w:w="120" w:type="dxa"/>
            </w:tcMar>
            <w:vAlign w:val="center"/>
            <w:shd w:fill="F4F7FA"/>
          </w:tcPr>
          <w:p>
            <w:pPr>
              <w:spacing w:after="0" w:line="252" w:lineRule="auto"/>
            </w:pPr>
            <w:r>
              <w:rPr>
                <w:b/>
                <w:sz w:val="18"/>
              </w:rPr>
              <w:t>Minors</w:t>
            </w:r>
          </w:p>
        </w:tc>
        <w:tc>
          <w:tcPr>
            <w:tcW w:type="dxa" w:w="7560"/>
            <w:tcMar>
              <w:top w:w="110" w:type="dxa"/>
              <w:start w:w="120" w:type="dxa"/>
              <w:bottom w:w="110" w:type="dxa"/>
              <w:end w:w="120" w:type="dxa"/>
            </w:tcMar>
            <w:vAlign w:val="center"/>
            <w:shd w:fill="F4F7FA"/>
          </w:tcPr>
          <w:p>
            <w:pPr>
              <w:spacing w:after="0" w:line="252" w:lineRule="auto"/>
            </w:pPr>
            <w:r>
              <w:rPr>
                <w:sz w:val="18"/>
              </w:rPr>
              <w:t>Program content is designed for adults serving children; direct collection from minors requires a separate approved process</w:t>
            </w:r>
          </w:p>
        </w:tc>
      </w:tr>
    </w:tbl>
    <w:p>
      <w:pPr>
        <w:spacing w:after="0"/>
      </w:pPr>
    </w:p>
    <w:p>
      <w:pPr>
        <w:pStyle w:val="Heading1"/>
      </w:pPr>
      <w:r>
        <w:t>Instructional classification framework</w:t>
      </w:r>
    </w:p>
    <w:p>
      <w:r>
        <w:t>The National Center for Education Statistics maintains the Classification of Instructional Programs. Kentucky uses CIP in its postsecondary program inventory and approval processes. The following alignments describe content fit and should be confirmed by the appropriate authority if the Foundation later seeks formal postsecondary recognition.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trPr>
        <w:tc>
          <w:tcPr>
            <w:tcW w:type="dxa" w:w="1656"/>
            <w:shd w:fill="17365D"/>
            <w:tcMar>
              <w:top w:w="110" w:type="dxa"/>
              <w:start w:w="120" w:type="dxa"/>
              <w:bottom w:w="110" w:type="dxa"/>
              <w:end w:w="120" w:type="dxa"/>
            </w:tcMar>
            <w:vAlign w:val="center"/>
          </w:tcPr>
          <w:p>
            <w:pPr>
              <w:jc w:val="center"/>
            </w:pPr>
            <w:r>
              <w:rPr>
                <w:b/>
                <w:color w:val="FFFFFF"/>
                <w:sz w:val="19"/>
              </w:rPr>
              <w:t>Program</w:t>
            </w:r>
          </w:p>
        </w:tc>
        <w:tc>
          <w:tcPr>
            <w:tcW w:type="dxa" w:w="1224"/>
            <w:shd w:fill="17365D"/>
            <w:tcMar>
              <w:top w:w="110" w:type="dxa"/>
              <w:start w:w="120" w:type="dxa"/>
              <w:bottom w:w="110" w:type="dxa"/>
              <w:end w:w="120" w:type="dxa"/>
            </w:tcMar>
            <w:vAlign w:val="center"/>
          </w:tcPr>
          <w:p>
            <w:pPr>
              <w:jc w:val="center"/>
            </w:pPr>
            <w:r>
              <w:rPr>
                <w:b/>
                <w:color w:val="FFFFFF"/>
                <w:sz w:val="19"/>
              </w:rPr>
              <w:t>Code</w:t>
            </w:r>
          </w:p>
        </w:tc>
        <w:tc>
          <w:tcPr>
            <w:tcW w:type="dxa" w:w="2880"/>
            <w:shd w:fill="17365D"/>
            <w:tcMar>
              <w:top w:w="110" w:type="dxa"/>
              <w:start w:w="120" w:type="dxa"/>
              <w:bottom w:w="110" w:type="dxa"/>
              <w:end w:w="120" w:type="dxa"/>
            </w:tcMar>
            <w:vAlign w:val="center"/>
          </w:tcPr>
          <w:p>
            <w:pPr>
              <w:jc w:val="center"/>
            </w:pPr>
            <w:r>
              <w:rPr>
                <w:b/>
                <w:color w:val="FFFFFF"/>
                <w:sz w:val="19"/>
              </w:rPr>
              <w:t>Official CIP title</w:t>
            </w:r>
          </w:p>
        </w:tc>
        <w:tc>
          <w:tcPr>
            <w:tcW w:type="dxa" w:w="4176"/>
            <w:shd w:fill="17365D"/>
            <w:tcMar>
              <w:top w:w="110" w:type="dxa"/>
              <w:start w:w="120" w:type="dxa"/>
              <w:bottom w:w="110" w:type="dxa"/>
              <w:end w:w="120" w:type="dxa"/>
            </w:tcMar>
            <w:vAlign w:val="center"/>
          </w:tcPr>
          <w:p>
            <w:pPr>
              <w:jc w:val="center"/>
            </w:pPr>
            <w:r>
              <w:rPr>
                <w:b/>
                <w:color w:val="FFFFFF"/>
                <w:sz w:val="19"/>
              </w:rPr>
              <w:t>Catalog application</w:t>
            </w:r>
          </w:p>
        </w:tc>
      </w:tr>
      <w:tr>
        <w:trPr>
          <w:cantSplit/>
        </w:trPr>
        <w:tc>
          <w:tcPr>
            <w:tcW w:type="dxa" w:w="1656"/>
            <w:tcMar>
              <w:top w:w="110" w:type="dxa"/>
              <w:start w:w="120" w:type="dxa"/>
              <w:bottom w:w="110" w:type="dxa"/>
              <w:end w:w="120" w:type="dxa"/>
            </w:tcMar>
            <w:vAlign w:val="center"/>
          </w:tcPr>
          <w:p>
            <w:pPr>
              <w:spacing w:after="0" w:line="252" w:lineRule="auto"/>
            </w:pPr>
            <w:r>
              <w:rPr>
                <w:b/>
                <w:sz w:val="18"/>
              </w:rPr>
              <w:t>Village Strong</w:t>
            </w:r>
          </w:p>
        </w:tc>
        <w:tc>
          <w:tcPr>
            <w:tcW w:type="dxa" w:w="1224"/>
            <w:tcMar>
              <w:top w:w="110" w:type="dxa"/>
              <w:start w:w="120" w:type="dxa"/>
              <w:bottom w:w="110" w:type="dxa"/>
              <w:end w:w="120" w:type="dxa"/>
            </w:tcMar>
            <w:vAlign w:val="center"/>
          </w:tcPr>
          <w:p>
            <w:pPr>
              <w:spacing w:after="0" w:line="252" w:lineRule="auto"/>
            </w:pPr>
            <w:r>
              <w:rPr>
                <w:sz w:val="18"/>
              </w:rPr>
              <w:t>19.0701</w:t>
            </w:r>
          </w:p>
        </w:tc>
        <w:tc>
          <w:tcPr>
            <w:tcW w:type="dxa" w:w="2880"/>
            <w:tcMar>
              <w:top w:w="110" w:type="dxa"/>
              <w:start w:w="120" w:type="dxa"/>
              <w:bottom w:w="110" w:type="dxa"/>
              <w:end w:w="120" w:type="dxa"/>
            </w:tcMar>
            <w:vAlign w:val="center"/>
          </w:tcPr>
          <w:p>
            <w:pPr>
              <w:spacing w:after="0" w:line="252" w:lineRule="auto"/>
            </w:pPr>
            <w:r>
              <w:rPr>
                <w:sz w:val="18"/>
              </w:rPr>
              <w:t>Human Development and Family Studies General</w:t>
            </w:r>
          </w:p>
        </w:tc>
        <w:tc>
          <w:tcPr>
            <w:tcW w:type="dxa" w:w="4176"/>
            <w:tcMar>
              <w:top w:w="110" w:type="dxa"/>
              <w:start w:w="120" w:type="dxa"/>
              <w:bottom w:w="110" w:type="dxa"/>
              <w:end w:w="120" w:type="dxa"/>
            </w:tcMar>
            <w:vAlign w:val="center"/>
          </w:tcPr>
          <w:p>
            <w:pPr>
              <w:spacing w:after="0" w:line="252" w:lineRule="auto"/>
            </w:pPr>
            <w:r>
              <w:rPr>
                <w:sz w:val="18"/>
              </w:rPr>
              <w:t>Broad interdisciplinary study of individual and family development across the life span, applied here to birth through age 18</w:t>
            </w:r>
          </w:p>
        </w:tc>
      </w:tr>
      <w:tr>
        <w:trPr>
          <w:cantSplit/>
        </w:trPr>
        <w:tc>
          <w:tcPr>
            <w:tcW w:type="dxa" w:w="1656"/>
            <w:tcMar>
              <w:top w:w="110" w:type="dxa"/>
              <w:start w:w="120" w:type="dxa"/>
              <w:bottom w:w="110" w:type="dxa"/>
              <w:end w:w="120" w:type="dxa"/>
            </w:tcMar>
            <w:vAlign w:val="center"/>
            <w:shd w:fill="F4F7FA"/>
          </w:tcPr>
          <w:p>
            <w:pPr>
              <w:spacing w:after="0" w:line="252" w:lineRule="auto"/>
            </w:pPr>
            <w:r>
              <w:rPr>
                <w:b/>
                <w:sz w:val="18"/>
              </w:rPr>
              <w:t>FAMILY</w:t>
            </w:r>
          </w:p>
        </w:tc>
        <w:tc>
          <w:tcPr>
            <w:tcW w:type="dxa" w:w="1224"/>
            <w:tcMar>
              <w:top w:w="110" w:type="dxa"/>
              <w:start w:w="120" w:type="dxa"/>
              <w:bottom w:w="110" w:type="dxa"/>
              <w:end w:w="120" w:type="dxa"/>
            </w:tcMar>
            <w:vAlign w:val="center"/>
            <w:shd w:fill="F4F7FA"/>
          </w:tcPr>
          <w:p>
            <w:pPr>
              <w:spacing w:after="0" w:line="252" w:lineRule="auto"/>
            </w:pPr>
            <w:r>
              <w:rPr>
                <w:sz w:val="18"/>
              </w:rPr>
              <w:t>19.0712</w:t>
            </w:r>
          </w:p>
        </w:tc>
        <w:tc>
          <w:tcPr>
            <w:tcW w:type="dxa" w:w="2880"/>
            <w:tcMar>
              <w:top w:w="110" w:type="dxa"/>
              <w:start w:w="120" w:type="dxa"/>
              <w:bottom w:w="110" w:type="dxa"/>
              <w:end w:w="120" w:type="dxa"/>
            </w:tcMar>
            <w:vAlign w:val="center"/>
            <w:shd w:fill="F4F7FA"/>
          </w:tcPr>
          <w:p>
            <w:pPr>
              <w:spacing w:after="0" w:line="252" w:lineRule="auto"/>
            </w:pPr>
            <w:r>
              <w:rPr>
                <w:sz w:val="18"/>
              </w:rPr>
              <w:t>Parent Education Services</w:t>
            </w:r>
          </w:p>
        </w:tc>
        <w:tc>
          <w:tcPr>
            <w:tcW w:type="dxa" w:w="4176"/>
            <w:tcMar>
              <w:top w:w="110" w:type="dxa"/>
              <w:start w:w="120" w:type="dxa"/>
              <w:bottom w:w="110" w:type="dxa"/>
              <w:end w:w="120" w:type="dxa"/>
            </w:tcMar>
            <w:vAlign w:val="center"/>
            <w:shd w:fill="F4F7FA"/>
          </w:tcPr>
          <w:p>
            <w:pPr>
              <w:spacing w:after="0" w:line="252" w:lineRule="auto"/>
            </w:pPr>
            <w:r>
              <w:rPr>
                <w:sz w:val="18"/>
              </w:rPr>
              <w:t>Preparation to plan, coordinate, and teach parent education addressing children and parents, applied here through a fatherhood centered specialization</w:t>
            </w:r>
          </w:p>
        </w:tc>
      </w:tr>
    </w:tbl>
    <w:p>
      <w:pPr>
        <w:spacing w:after="0"/>
      </w:pPr>
    </w:p>
    <w:p>
      <w:pPr>
        <w:pStyle w:val="Heading1"/>
      </w:pPr>
      <w:r>
        <w:t>Program overview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160"/>
            <w:shd w:fill="17365D"/>
            <w:tcMar>
              <w:top w:w="110" w:type="dxa"/>
              <w:start w:w="120" w:type="dxa"/>
              <w:bottom w:w="110" w:type="dxa"/>
              <w:end w:w="120" w:type="dxa"/>
            </w:tcMar>
            <w:vAlign w:val="center"/>
          </w:tcPr>
          <w:p>
            <w:pPr>
              <w:jc w:val="center"/>
            </w:pPr>
            <w:r>
              <w:rPr>
                <w:b/>
                <w:color w:val="FFFFFF"/>
                <w:sz w:val="19"/>
              </w:rPr>
              <w:t>Feature</w:t>
            </w:r>
          </w:p>
        </w:tc>
        <w:tc>
          <w:tcPr>
            <w:tcW w:type="dxa" w:w="3888"/>
            <w:shd w:fill="17365D"/>
            <w:tcMar>
              <w:top w:w="110" w:type="dxa"/>
              <w:start w:w="120" w:type="dxa"/>
              <w:bottom w:w="110" w:type="dxa"/>
              <w:end w:w="120" w:type="dxa"/>
            </w:tcMar>
            <w:vAlign w:val="center"/>
          </w:tcPr>
          <w:p>
            <w:pPr>
              <w:jc w:val="center"/>
            </w:pPr>
            <w:r>
              <w:rPr>
                <w:b/>
                <w:color w:val="FFFFFF"/>
                <w:sz w:val="19"/>
              </w:rPr>
              <w:t>Village Strong</w:t>
            </w:r>
          </w:p>
        </w:tc>
        <w:tc>
          <w:tcPr>
            <w:tcW w:type="dxa" w:w="3888"/>
            <w:shd w:fill="17365D"/>
            <w:tcMar>
              <w:top w:w="110" w:type="dxa"/>
              <w:start w:w="120" w:type="dxa"/>
              <w:bottom w:w="110" w:type="dxa"/>
              <w:end w:w="120" w:type="dxa"/>
            </w:tcMar>
            <w:vAlign w:val="center"/>
          </w:tcPr>
          <w:p>
            <w:pPr>
              <w:jc w:val="center"/>
            </w:pPr>
            <w:r>
              <w:rPr>
                <w:b/>
                <w:color w:val="FFFFFF"/>
                <w:sz w:val="19"/>
              </w:rPr>
              <w:t>FAMILY</w:t>
            </w:r>
          </w:p>
        </w:tc>
      </w:tr>
      <w:tr>
        <w:trPr>
          <w:cantSplit/>
        </w:trPr>
        <w:tc>
          <w:tcPr>
            <w:tcW w:type="dxa" w:w="2160"/>
            <w:tcMar>
              <w:top w:w="110" w:type="dxa"/>
              <w:start w:w="120" w:type="dxa"/>
              <w:bottom w:w="110" w:type="dxa"/>
              <w:end w:w="120" w:type="dxa"/>
            </w:tcMar>
            <w:vAlign w:val="center"/>
          </w:tcPr>
          <w:p>
            <w:pPr>
              <w:spacing w:after="0" w:line="252" w:lineRule="auto"/>
            </w:pPr>
            <w:r>
              <w:rPr>
                <w:b/>
                <w:sz w:val="18"/>
              </w:rPr>
              <w:t>Primary field</w:t>
            </w:r>
          </w:p>
        </w:tc>
        <w:tc>
          <w:tcPr>
            <w:tcW w:type="dxa" w:w="3888"/>
            <w:tcMar>
              <w:top w:w="110" w:type="dxa"/>
              <w:start w:w="120" w:type="dxa"/>
              <w:bottom w:w="110" w:type="dxa"/>
              <w:end w:w="120" w:type="dxa"/>
            </w:tcMar>
            <w:vAlign w:val="center"/>
          </w:tcPr>
          <w:p>
            <w:pPr>
              <w:spacing w:after="0" w:line="252" w:lineRule="auto"/>
            </w:pPr>
            <w:r>
              <w:rPr>
                <w:sz w:val="18"/>
              </w:rPr>
              <w:t>Human and child development</w:t>
            </w:r>
          </w:p>
        </w:tc>
        <w:tc>
          <w:tcPr>
            <w:tcW w:type="dxa" w:w="3888"/>
            <w:tcMar>
              <w:top w:w="110" w:type="dxa"/>
              <w:start w:w="120" w:type="dxa"/>
              <w:bottom w:w="110" w:type="dxa"/>
              <w:end w:w="120" w:type="dxa"/>
            </w:tcMar>
            <w:vAlign w:val="center"/>
          </w:tcPr>
          <w:p>
            <w:pPr>
              <w:spacing w:after="0" w:line="252" w:lineRule="auto"/>
            </w:pPr>
            <w:r>
              <w:rPr>
                <w:sz w:val="18"/>
              </w:rPr>
              <w:t>Fatherhood Science and parent education</w:t>
            </w:r>
          </w:p>
        </w:tc>
      </w:tr>
      <w:tr>
        <w:trPr>
          <w:cantSplit/>
        </w:trPr>
        <w:tc>
          <w:tcPr>
            <w:tcW w:type="dxa" w:w="2160"/>
            <w:tcMar>
              <w:top w:w="110" w:type="dxa"/>
              <w:start w:w="120" w:type="dxa"/>
              <w:bottom w:w="110" w:type="dxa"/>
              <w:end w:w="120" w:type="dxa"/>
            </w:tcMar>
            <w:vAlign w:val="center"/>
            <w:shd w:fill="F4F7FA"/>
          </w:tcPr>
          <w:p>
            <w:pPr>
              <w:spacing w:after="0" w:line="252" w:lineRule="auto"/>
            </w:pPr>
            <w:r>
              <w:rPr>
                <w:b/>
                <w:sz w:val="18"/>
              </w:rPr>
              <w:t>Age or role focus</w:t>
            </w:r>
          </w:p>
        </w:tc>
        <w:tc>
          <w:tcPr>
            <w:tcW w:type="dxa" w:w="3888"/>
            <w:tcMar>
              <w:top w:w="110" w:type="dxa"/>
              <w:start w:w="120" w:type="dxa"/>
              <w:bottom w:w="110" w:type="dxa"/>
              <w:end w:w="120" w:type="dxa"/>
            </w:tcMar>
            <w:vAlign w:val="center"/>
            <w:shd w:fill="F4F7FA"/>
          </w:tcPr>
          <w:p>
            <w:pPr>
              <w:spacing w:after="0" w:line="252" w:lineRule="auto"/>
            </w:pPr>
            <w:r>
              <w:rPr>
                <w:sz w:val="18"/>
              </w:rPr>
              <w:t>Birth through age 18</w:t>
            </w:r>
          </w:p>
        </w:tc>
        <w:tc>
          <w:tcPr>
            <w:tcW w:type="dxa" w:w="3888"/>
            <w:tcMar>
              <w:top w:w="110" w:type="dxa"/>
              <w:start w:w="120" w:type="dxa"/>
              <w:bottom w:w="110" w:type="dxa"/>
              <w:end w:w="120" w:type="dxa"/>
            </w:tcMar>
            <w:vAlign w:val="center"/>
            <w:shd w:fill="F4F7FA"/>
          </w:tcPr>
          <w:p>
            <w:pPr>
              <w:spacing w:after="0" w:line="252" w:lineRule="auto"/>
            </w:pPr>
            <w:r>
              <w:rPr>
                <w:sz w:val="18"/>
              </w:rPr>
              <w:t>Fathers, father figures, coparents, and family serving professionals</w:t>
            </w:r>
          </w:p>
        </w:tc>
      </w:tr>
      <w:tr>
        <w:trPr>
          <w:cantSplit/>
        </w:trPr>
        <w:tc>
          <w:tcPr>
            <w:tcW w:type="dxa" w:w="2160"/>
            <w:tcMar>
              <w:top w:w="110" w:type="dxa"/>
              <w:start w:w="120" w:type="dxa"/>
              <w:bottom w:w="110" w:type="dxa"/>
              <w:end w:w="120" w:type="dxa"/>
            </w:tcMar>
            <w:vAlign w:val="center"/>
          </w:tcPr>
          <w:p>
            <w:pPr>
              <w:spacing w:after="0" w:line="252" w:lineRule="auto"/>
            </w:pPr>
            <w:r>
              <w:rPr>
                <w:b/>
                <w:sz w:val="18"/>
              </w:rPr>
              <w:t>Sequence</w:t>
            </w:r>
          </w:p>
        </w:tc>
        <w:tc>
          <w:tcPr>
            <w:tcW w:type="dxa" w:w="3888"/>
            <w:tcMar>
              <w:top w:w="110" w:type="dxa"/>
              <w:start w:w="120" w:type="dxa"/>
              <w:bottom w:w="110" w:type="dxa"/>
              <w:end w:w="120" w:type="dxa"/>
            </w:tcMar>
            <w:vAlign w:val="center"/>
          </w:tcPr>
          <w:p>
            <w:pPr>
              <w:spacing w:after="0" w:line="252" w:lineRule="auto"/>
            </w:pPr>
            <w:r>
              <w:rPr>
                <w:sz w:val="18"/>
              </w:rPr>
              <w:t>Eight courses</w:t>
            </w:r>
          </w:p>
        </w:tc>
        <w:tc>
          <w:tcPr>
            <w:tcW w:type="dxa" w:w="3888"/>
            <w:tcMar>
              <w:top w:w="110" w:type="dxa"/>
              <w:start w:w="120" w:type="dxa"/>
              <w:bottom w:w="110" w:type="dxa"/>
              <w:end w:w="120" w:type="dxa"/>
            </w:tcMar>
            <w:vAlign w:val="center"/>
          </w:tcPr>
          <w:p>
            <w:pPr>
              <w:spacing w:after="0" w:line="252" w:lineRule="auto"/>
            </w:pPr>
            <w:r>
              <w:rPr>
                <w:sz w:val="18"/>
              </w:rPr>
              <w:t>Eight courses</w:t>
            </w:r>
          </w:p>
        </w:tc>
      </w:tr>
      <w:tr>
        <w:trPr>
          <w:cantSplit/>
        </w:trPr>
        <w:tc>
          <w:tcPr>
            <w:tcW w:type="dxa" w:w="2160"/>
            <w:tcMar>
              <w:top w:w="110" w:type="dxa"/>
              <w:start w:w="120" w:type="dxa"/>
              <w:bottom w:w="110" w:type="dxa"/>
              <w:end w:w="120" w:type="dxa"/>
            </w:tcMar>
            <w:vAlign w:val="center"/>
            <w:shd w:fill="F4F7FA"/>
          </w:tcPr>
          <w:p>
            <w:pPr>
              <w:spacing w:after="0" w:line="252" w:lineRule="auto"/>
            </w:pPr>
            <w:r>
              <w:rPr>
                <w:b/>
                <w:sz w:val="18"/>
              </w:rPr>
              <w:t>Total instructional hours</w:t>
            </w:r>
          </w:p>
        </w:tc>
        <w:tc>
          <w:tcPr>
            <w:tcW w:type="dxa" w:w="3888"/>
            <w:tcMar>
              <w:top w:w="110" w:type="dxa"/>
              <w:start w:w="120" w:type="dxa"/>
              <w:bottom w:w="110" w:type="dxa"/>
              <w:end w:w="120" w:type="dxa"/>
            </w:tcMar>
            <w:vAlign w:val="center"/>
            <w:shd w:fill="F4F7FA"/>
          </w:tcPr>
          <w:p>
            <w:pPr>
              <w:spacing w:after="0" w:line="252" w:lineRule="auto"/>
            </w:pPr>
            <w:r>
              <w:rPr>
                <w:sz w:val="18"/>
              </w:rPr>
              <w:t>96</w:t>
            </w:r>
          </w:p>
        </w:tc>
        <w:tc>
          <w:tcPr>
            <w:tcW w:type="dxa" w:w="3888"/>
            <w:tcMar>
              <w:top w:w="110" w:type="dxa"/>
              <w:start w:w="120" w:type="dxa"/>
              <w:bottom w:w="110" w:type="dxa"/>
              <w:end w:w="120" w:type="dxa"/>
            </w:tcMar>
            <w:vAlign w:val="center"/>
            <w:shd w:fill="F4F7FA"/>
          </w:tcPr>
          <w:p>
            <w:pPr>
              <w:spacing w:after="0" w:line="252" w:lineRule="auto"/>
            </w:pPr>
            <w:r>
              <w:rPr>
                <w:sz w:val="18"/>
              </w:rPr>
              <w:t>96</w:t>
            </w:r>
          </w:p>
        </w:tc>
      </w:tr>
      <w:tr>
        <w:trPr>
          <w:cantSplit/>
        </w:trPr>
        <w:tc>
          <w:tcPr>
            <w:tcW w:type="dxa" w:w="2160"/>
            <w:tcMar>
              <w:top w:w="110" w:type="dxa"/>
              <w:start w:w="120" w:type="dxa"/>
              <w:bottom w:w="110" w:type="dxa"/>
              <w:end w:w="120" w:type="dxa"/>
            </w:tcMar>
            <w:vAlign w:val="center"/>
          </w:tcPr>
          <w:p>
            <w:pPr>
              <w:spacing w:after="0" w:line="252" w:lineRule="auto"/>
            </w:pPr>
            <w:r>
              <w:rPr>
                <w:b/>
                <w:sz w:val="18"/>
              </w:rPr>
              <w:t>Program completion</w:t>
            </w:r>
          </w:p>
        </w:tc>
        <w:tc>
          <w:tcPr>
            <w:tcW w:type="dxa" w:w="3888"/>
            <w:tcMar>
              <w:top w:w="110" w:type="dxa"/>
              <w:start w:w="120" w:type="dxa"/>
              <w:bottom w:w="110" w:type="dxa"/>
              <w:end w:w="120" w:type="dxa"/>
            </w:tcMar>
            <w:vAlign w:val="center"/>
          </w:tcPr>
          <w:p>
            <w:pPr>
              <w:spacing w:after="0" w:line="252" w:lineRule="auto"/>
            </w:pPr>
            <w:r>
              <w:rPr>
                <w:sz w:val="18"/>
              </w:rPr>
              <w:t>All eight courses plus developmental support portfolio</w:t>
            </w:r>
          </w:p>
        </w:tc>
        <w:tc>
          <w:tcPr>
            <w:tcW w:type="dxa" w:w="3888"/>
            <w:tcMar>
              <w:top w:w="110" w:type="dxa"/>
              <w:start w:w="120" w:type="dxa"/>
              <w:bottom w:w="110" w:type="dxa"/>
              <w:end w:w="120" w:type="dxa"/>
            </w:tcMar>
            <w:vAlign w:val="center"/>
          </w:tcPr>
          <w:p>
            <w:pPr>
              <w:spacing w:after="0" w:line="252" w:lineRule="auto"/>
            </w:pPr>
            <w:r>
              <w:rPr>
                <w:sz w:val="18"/>
              </w:rPr>
              <w:t>All eight courses plus fatherhood education action plan</w:t>
            </w:r>
          </w:p>
        </w:tc>
      </w:tr>
    </w:tbl>
    <w:p>
      <w:pPr>
        <w:spacing w:after="0"/>
      </w:pPr>
    </w:p>
    <w:p>
      <w:r>
        <w:br w:type="page"/>
      </w:r>
    </w:p>
    <w:p>
      <w:pPr>
        <w:pStyle w:val="Heading1"/>
      </w:pPr>
      <w:r>
        <w:t>Village Strong program</w:t>
      </w:r>
    </w:p>
    <w:p>
      <w:r>
        <w:t>Field Human and Child Development   |   CIP alignment 19.0701 Human Development and Family Studies General</w:t>
      </w:r>
    </w:p>
    <w:p>
      <w:r>
        <w:t>Village Strong prepares adult learners to understand development from birth through age 18 and to apply developmentally appropriate, family centered, culturally responsive, and trauma aware support practices. The program is intended for parents, caregivers, mentors, volunteers, youth workers, and community professionals.</w:t>
      </w:r>
    </w:p>
    <w:p>
      <w:pPr>
        <w:pStyle w:val="Heading2"/>
        <w:keepNext/>
      </w:pPr>
      <w:r>
        <w:t>VS 101  Foundations of Human and Child Development</w:t>
      </w:r>
    </w:p>
    <w:p>
      <w:pPr>
        <w:keepNext/>
        <w:spacing w:after="100"/>
      </w:pPr>
      <w:r>
        <w:rPr>
          <w:b/>
          <w:sz w:val="19"/>
        </w:rPr>
        <w:t>Instructional hours: 12   |   Prerequisite: None   |   Intended audience: Adults supporting children and families</w:t>
      </w:r>
    </w:p>
    <w:p>
      <w:r>
        <w:t>Introduces major developmental domains, ecological influences, and the interaction of biology, relationships, culture, and environment from birth through adolescence.</w:t>
      </w:r>
    </w:p>
    <w:p>
      <w:pPr>
        <w:spacing w:after="40"/>
      </w:pPr>
      <w:r>
        <w:rPr>
          <w:b/>
        </w:rPr>
        <w:t>Learning outcomes</w:t>
      </w:r>
    </w:p>
    <w:p>
      <w:pPr>
        <w:pStyle w:val="ListBullet"/>
        <w:spacing w:after="40"/>
        <w:ind w:left="360" w:hanging="216"/>
      </w:pPr>
      <w:r>
        <w:t>Describe physical, cognitive, language, social, and emotional development.</w:t>
      </w:r>
    </w:p>
    <w:p>
      <w:pPr>
        <w:pStyle w:val="ListBullet"/>
        <w:spacing w:after="40"/>
        <w:ind w:left="360" w:hanging="216"/>
      </w:pPr>
      <w:r>
        <w:t>Explain how family, culture, community, and environment influence development.</w:t>
      </w:r>
    </w:p>
    <w:p>
      <w:pPr>
        <w:pStyle w:val="ListBullet"/>
        <w:spacing w:after="40"/>
        <w:ind w:left="360" w:hanging="216"/>
      </w:pPr>
      <w:r>
        <w:t>Use developmental information without treating milestones as rigid diagnostic rules.</w:t>
      </w:r>
    </w:p>
    <w:p>
      <w:pPr>
        <w:pStyle w:val="Heading2"/>
        <w:keepNext/>
      </w:pPr>
      <w:r>
        <w:t>VS 110  Prenatal Development Infancy and Attachment</w:t>
      </w:r>
    </w:p>
    <w:p>
      <w:pPr>
        <w:keepNext/>
        <w:spacing w:after="100"/>
      </w:pPr>
      <w:r>
        <w:rPr>
          <w:b/>
          <w:sz w:val="19"/>
        </w:rPr>
        <w:t>Instructional hours: 12   |   Prerequisite: None   |   Intended audience: Parents caregivers and family serving staff</w:t>
      </w:r>
    </w:p>
    <w:p>
      <w:r>
        <w:t>Examines prenatal influences, infant development, responsive caregiving, attachment, early communication, and protective relationships during the first years of life.</w:t>
      </w:r>
    </w:p>
    <w:p>
      <w:pPr>
        <w:spacing w:after="40"/>
      </w:pPr>
      <w:r>
        <w:rPr>
          <w:b/>
        </w:rPr>
        <w:t>Learning outcomes</w:t>
      </w:r>
    </w:p>
    <w:p>
      <w:pPr>
        <w:pStyle w:val="ListBullet"/>
        <w:spacing w:after="40"/>
        <w:ind w:left="360" w:hanging="216"/>
      </w:pPr>
      <w:r>
        <w:t>Identify major prenatal and infant developmental processes.</w:t>
      </w:r>
    </w:p>
    <w:p>
      <w:pPr>
        <w:pStyle w:val="ListBullet"/>
        <w:spacing w:after="40"/>
        <w:ind w:left="360" w:hanging="216"/>
      </w:pPr>
      <w:r>
        <w:t>Explain responsive caregiving and secure relationship practices.</w:t>
      </w:r>
    </w:p>
    <w:p>
      <w:pPr>
        <w:pStyle w:val="ListBullet"/>
        <w:spacing w:after="40"/>
        <w:ind w:left="360" w:hanging="216"/>
      </w:pPr>
      <w:r>
        <w:t>Recognize concerns that should be referred to qualified health or developmental professionals.</w:t>
      </w:r>
    </w:p>
    <w:p>
      <w:pPr>
        <w:pStyle w:val="Heading2"/>
        <w:keepNext/>
      </w:pPr>
      <w:r>
        <w:t>VS 120  Early Childhood Development Birth to Age Five</w:t>
      </w:r>
    </w:p>
    <w:p>
      <w:pPr>
        <w:keepNext/>
        <w:spacing w:after="100"/>
      </w:pPr>
      <w:r>
        <w:rPr>
          <w:b/>
          <w:sz w:val="19"/>
        </w:rPr>
        <w:t>Instructional hours: 12   |   Prerequisite: None   |   Intended audience: Adults supporting children from birth to age five</w:t>
      </w:r>
    </w:p>
    <w:p>
      <w:r>
        <w:t>Covers play, language, self regulation, early learning, routines, and family engagement during early childhood.</w:t>
      </w:r>
    </w:p>
    <w:p>
      <w:pPr>
        <w:spacing w:after="40"/>
      </w:pPr>
      <w:r>
        <w:rPr>
          <w:b/>
        </w:rPr>
        <w:t>Learning outcomes</w:t>
      </w:r>
    </w:p>
    <w:p>
      <w:pPr>
        <w:pStyle w:val="ListBullet"/>
        <w:spacing w:after="40"/>
        <w:ind w:left="360" w:hanging="216"/>
      </w:pPr>
      <w:r>
        <w:t>Connect play and routines to early learning.</w:t>
      </w:r>
    </w:p>
    <w:p>
      <w:pPr>
        <w:pStyle w:val="ListBullet"/>
        <w:spacing w:after="40"/>
        <w:ind w:left="360" w:hanging="216"/>
      </w:pPr>
      <w:r>
        <w:t>Select developmentally appropriate communication and guidance strategies.</w:t>
      </w:r>
    </w:p>
    <w:p>
      <w:pPr>
        <w:pStyle w:val="ListBullet"/>
        <w:spacing w:after="40"/>
        <w:ind w:left="360" w:hanging="216"/>
      </w:pPr>
      <w:r>
        <w:t>Plan inclusive activities that support multiple developmental domains.</w:t>
      </w:r>
    </w:p>
    <w:p>
      <w:pPr>
        <w:pStyle w:val="Heading2"/>
        <w:keepNext/>
      </w:pPr>
      <w:r>
        <w:t>VS 130  Middle Childhood Development Ages Six to Eleven</w:t>
      </w:r>
    </w:p>
    <w:p>
      <w:pPr>
        <w:keepNext/>
        <w:spacing w:after="100"/>
      </w:pPr>
      <w:r>
        <w:rPr>
          <w:b/>
          <w:sz w:val="19"/>
        </w:rPr>
        <w:t>Instructional hours: 12   |   Prerequisite: None   |   Intended audience: Adults supporting school age children</w:t>
      </w:r>
    </w:p>
    <w:p>
      <w:r>
        <w:t>Explores learning, peer relationships, identity, executive function, school engagement, and resilience during middle childhood.</w:t>
      </w:r>
    </w:p>
    <w:p>
      <w:pPr>
        <w:spacing w:after="40"/>
      </w:pPr>
      <w:r>
        <w:rPr>
          <w:b/>
        </w:rPr>
        <w:t>Learning outcomes</w:t>
      </w:r>
    </w:p>
    <w:p>
      <w:pPr>
        <w:pStyle w:val="ListBullet"/>
        <w:spacing w:after="40"/>
        <w:ind w:left="360" w:hanging="216"/>
      </w:pPr>
      <w:r>
        <w:t>Describe key developmental changes in middle childhood.</w:t>
      </w:r>
    </w:p>
    <w:p>
      <w:pPr>
        <w:pStyle w:val="ListBullet"/>
        <w:spacing w:after="40"/>
        <w:ind w:left="360" w:hanging="216"/>
      </w:pPr>
      <w:r>
        <w:t>Support learning habits, belonging, and positive peer relationships.</w:t>
      </w:r>
    </w:p>
    <w:p>
      <w:pPr>
        <w:pStyle w:val="ListBullet"/>
        <w:spacing w:after="40"/>
        <w:ind w:left="360" w:hanging="216"/>
      </w:pPr>
      <w:r>
        <w:t>Apply strengths based strategies to common school age challenges.</w:t>
      </w:r>
    </w:p>
    <w:p>
      <w:pPr>
        <w:pStyle w:val="Heading2"/>
        <w:keepNext/>
      </w:pPr>
      <w:r>
        <w:t>VS 140  Adolescent Development Ages Twelve to Eighteen</w:t>
      </w:r>
    </w:p>
    <w:p>
      <w:pPr>
        <w:keepNext/>
        <w:spacing w:after="100"/>
      </w:pPr>
      <w:r>
        <w:rPr>
          <w:b/>
          <w:sz w:val="19"/>
        </w:rPr>
        <w:t>Instructional hours: 12   |   Prerequisite: None   |   Intended audience: Adults supporting adolescents</w:t>
      </w:r>
    </w:p>
    <w:p>
      <w:r>
        <w:t>Examines puberty, identity, autonomy, relationships, risk, decision making, digital life, and preparation for adulthood.</w:t>
      </w:r>
    </w:p>
    <w:p>
      <w:pPr>
        <w:spacing w:after="40"/>
      </w:pPr>
      <w:r>
        <w:rPr>
          <w:b/>
        </w:rPr>
        <w:t>Learning outcomes</w:t>
      </w:r>
    </w:p>
    <w:p>
      <w:pPr>
        <w:pStyle w:val="ListBullet"/>
        <w:spacing w:after="40"/>
        <w:ind w:left="360" w:hanging="216"/>
      </w:pPr>
      <w:r>
        <w:t>Explain major physical, cognitive, and social changes in adolescence.</w:t>
      </w:r>
    </w:p>
    <w:p>
      <w:pPr>
        <w:pStyle w:val="ListBullet"/>
        <w:spacing w:after="40"/>
        <w:ind w:left="360" w:hanging="216"/>
      </w:pPr>
      <w:r>
        <w:t>Use communication practices that balance connection, autonomy, and safety.</w:t>
      </w:r>
    </w:p>
    <w:p>
      <w:pPr>
        <w:pStyle w:val="ListBullet"/>
        <w:spacing w:after="40"/>
        <w:ind w:left="360" w:hanging="216"/>
      </w:pPr>
      <w:r>
        <w:t>Support healthy transitions to education, employment, and adult responsibilities.</w:t>
      </w:r>
    </w:p>
    <w:p>
      <w:pPr>
        <w:pStyle w:val="Heading2"/>
        <w:keepNext/>
      </w:pPr>
      <w:r>
        <w:t>VS 210  Family Systems Culture and Community</w:t>
      </w:r>
    </w:p>
    <w:p>
      <w:pPr>
        <w:keepNext/>
        <w:spacing w:after="100"/>
      </w:pPr>
      <w:r>
        <w:rPr>
          <w:b/>
          <w:sz w:val="19"/>
        </w:rPr>
        <w:t>Instructional hours: 12   |   Prerequisite: VS 101 recommended   |   Intended audience: Parents caregivers mentors and community professionals</w:t>
      </w:r>
    </w:p>
    <w:p>
      <w:r>
        <w:t>Studies children within family systems and community contexts, with attention to culture, family diversity, resources, and collaborative support.</w:t>
      </w:r>
    </w:p>
    <w:p>
      <w:pPr>
        <w:spacing w:after="40"/>
      </w:pPr>
      <w:r>
        <w:rPr>
          <w:b/>
        </w:rPr>
        <w:t>Learning outcomes</w:t>
      </w:r>
    </w:p>
    <w:p>
      <w:pPr>
        <w:pStyle w:val="ListBullet"/>
        <w:spacing w:after="40"/>
        <w:ind w:left="360" w:hanging="216"/>
      </w:pPr>
      <w:r>
        <w:t>Map family and community influences on child development.</w:t>
      </w:r>
    </w:p>
    <w:p>
      <w:pPr>
        <w:pStyle w:val="ListBullet"/>
        <w:spacing w:after="40"/>
        <w:ind w:left="360" w:hanging="216"/>
      </w:pPr>
      <w:r>
        <w:t>Use culturally responsive and family centered engagement practices.</w:t>
      </w:r>
    </w:p>
    <w:p>
      <w:pPr>
        <w:pStyle w:val="ListBullet"/>
        <w:spacing w:after="40"/>
        <w:ind w:left="360" w:hanging="216"/>
      </w:pPr>
      <w:r>
        <w:t>Identify community resources and appropriate referral pathways.</w:t>
      </w:r>
    </w:p>
    <w:p>
      <w:pPr>
        <w:pStyle w:val="Heading2"/>
        <w:keepNext/>
      </w:pPr>
      <w:r>
        <w:t>VS 220  Resilience Trauma Awareness and Child Wellbeing</w:t>
      </w:r>
    </w:p>
    <w:p>
      <w:pPr>
        <w:keepNext/>
        <w:spacing w:after="100"/>
      </w:pPr>
      <w:r>
        <w:rPr>
          <w:b/>
          <w:sz w:val="19"/>
        </w:rPr>
        <w:t>Instructional hours: 12   |   Prerequisite: VS 101 recommended   |   Intended audience: Adults serving children and families</w:t>
      </w:r>
    </w:p>
    <w:p>
      <w:r>
        <w:t>Introduces protective factors, adversity, trauma aware interaction, emotional safety, and the limits of a nonclinical helper role.</w:t>
      </w:r>
    </w:p>
    <w:p>
      <w:pPr>
        <w:spacing w:after="40"/>
      </w:pPr>
      <w:r>
        <w:rPr>
          <w:b/>
        </w:rPr>
        <w:t>Learning outcomes</w:t>
      </w:r>
    </w:p>
    <w:p>
      <w:pPr>
        <w:pStyle w:val="ListBullet"/>
        <w:spacing w:after="40"/>
        <w:ind w:left="360" w:hanging="216"/>
      </w:pPr>
      <w:r>
        <w:t>Distinguish supportive education from clinical assessment or treatment.</w:t>
      </w:r>
    </w:p>
    <w:p>
      <w:pPr>
        <w:pStyle w:val="ListBullet"/>
        <w:spacing w:after="40"/>
        <w:ind w:left="360" w:hanging="216"/>
      </w:pPr>
      <w:r>
        <w:t>Apply trauma aware and resilience building practices.</w:t>
      </w:r>
    </w:p>
    <w:p>
      <w:pPr>
        <w:pStyle w:val="ListBullet"/>
        <w:spacing w:after="40"/>
        <w:ind w:left="360" w:hanging="216"/>
      </w:pPr>
      <w:r>
        <w:t>Recognize safety concerns requiring mandated procedures or professional referral.</w:t>
      </w:r>
    </w:p>
    <w:p>
      <w:pPr>
        <w:pStyle w:val="Heading2"/>
        <w:keepNext/>
      </w:pPr>
      <w:r>
        <w:t>VS 290  Developmental Support Portfolio</w:t>
      </w:r>
    </w:p>
    <w:p>
      <w:pPr>
        <w:keepNext/>
        <w:spacing w:after="100"/>
      </w:pPr>
      <w:r>
        <w:rPr>
          <w:b/>
          <w:sz w:val="19"/>
        </w:rPr>
        <w:t>Instructional hours: 12   |   Prerequisite: VS 101 through VS 220   |   Intended audience: Village Strong program completers</w:t>
      </w:r>
    </w:p>
    <w:p>
      <w:r>
        <w:t>Integrates the program through a practical portfolio containing age appropriate activities, family communication resources, community referrals, and an implementation reflection.</w:t>
      </w:r>
    </w:p>
    <w:p>
      <w:pPr>
        <w:spacing w:after="40"/>
      </w:pPr>
      <w:r>
        <w:rPr>
          <w:b/>
        </w:rPr>
        <w:t>Learning outcomes</w:t>
      </w:r>
    </w:p>
    <w:p>
      <w:pPr>
        <w:pStyle w:val="ListBullet"/>
        <w:spacing w:after="40"/>
        <w:ind w:left="360" w:hanging="216"/>
      </w:pPr>
      <w:r>
        <w:t>Synthesize development principles across birth through age 18.</w:t>
      </w:r>
    </w:p>
    <w:p>
      <w:pPr>
        <w:pStyle w:val="ListBullet"/>
        <w:spacing w:after="40"/>
        <w:ind w:left="360" w:hanging="216"/>
      </w:pPr>
      <w:r>
        <w:t>Create an ethical and developmentally appropriate support plan.</w:t>
      </w:r>
    </w:p>
    <w:p>
      <w:pPr>
        <w:pStyle w:val="ListBullet"/>
        <w:spacing w:after="40"/>
        <w:ind w:left="360" w:hanging="216"/>
      </w:pPr>
      <w:r>
        <w:t>Document evidence, limitations, referral needs, and continuous improvement steps.</w:t>
      </w:r>
    </w:p>
    <w:p>
      <w:r>
        <w:br w:type="page"/>
      </w:r>
    </w:p>
    <w:p>
      <w:pPr>
        <w:pStyle w:val="Heading1"/>
      </w:pPr>
      <w:r>
        <w:t>FAMILY program</w:t>
      </w:r>
    </w:p>
    <w:p>
      <w:r>
        <w:t>Specialization Fatherhood Science   |   Instructional classification 19.0712 Parent Education Services</w:t>
      </w:r>
    </w:p>
    <w:p>
      <w:r>
        <w:t>FAMILY uses an interdisciplinary fatherhood lens to prepare adult learners to strengthen father engagement, parent child relationships, coparenting, family stability, and community support. Fatherhood Science is the program specialization; Parent Education Services is the proposed federal instructional classification.</w:t>
      </w:r>
    </w:p>
    <w:p>
      <w:pPr>
        <w:pStyle w:val="Heading2"/>
        <w:keepNext/>
      </w:pPr>
      <w:r>
        <w:t>FAM 101  Foundations of Fatherhood Science</w:t>
      </w:r>
    </w:p>
    <w:p>
      <w:pPr>
        <w:keepNext/>
        <w:spacing w:after="100"/>
      </w:pPr>
      <w:r>
        <w:rPr>
          <w:b/>
          <w:sz w:val="19"/>
        </w:rPr>
        <w:t>Instructional hours: 12   |   Prerequisite: None   |   Intended audience: Fathers father figures and family serving professionals</w:t>
      </w:r>
    </w:p>
    <w:p>
      <w:r>
        <w:t>Introduces fatherhood as an interdisciplinary field informed by human development, family studies, parenting education, public health, and community practice.</w:t>
      </w:r>
    </w:p>
    <w:p>
      <w:pPr>
        <w:spacing w:after="40"/>
      </w:pPr>
      <w:r>
        <w:rPr>
          <w:b/>
        </w:rPr>
        <w:t>Learning outcomes</w:t>
      </w:r>
    </w:p>
    <w:p>
      <w:pPr>
        <w:pStyle w:val="ListBullet"/>
        <w:spacing w:after="40"/>
        <w:ind w:left="360" w:hanging="216"/>
      </w:pPr>
      <w:r>
        <w:t>Explain how father involvement can interact with child and family wellbeing.</w:t>
      </w:r>
    </w:p>
    <w:p>
      <w:pPr>
        <w:pStyle w:val="ListBullet"/>
        <w:spacing w:after="40"/>
        <w:ind w:left="360" w:hanging="216"/>
      </w:pPr>
      <w:r>
        <w:t>Distinguish research findings from assumptions or stereotypes about fathers.</w:t>
      </w:r>
    </w:p>
    <w:p>
      <w:pPr>
        <w:pStyle w:val="ListBullet"/>
        <w:spacing w:after="40"/>
        <w:ind w:left="360" w:hanging="216"/>
      </w:pPr>
      <w:r>
        <w:t>Identify ethical limits when providing education rather than clinical or legal advice.</w:t>
      </w:r>
    </w:p>
    <w:p>
      <w:pPr>
        <w:pStyle w:val="Heading2"/>
        <w:keepNext/>
      </w:pPr>
      <w:r>
        <w:t>FAM 110  Father Identity Roles and Development</w:t>
      </w:r>
    </w:p>
    <w:p>
      <w:pPr>
        <w:keepNext/>
        <w:spacing w:after="100"/>
      </w:pPr>
      <w:r>
        <w:rPr>
          <w:b/>
          <w:sz w:val="19"/>
        </w:rPr>
        <w:t>Instructional hours: 12   |   Prerequisite: None   |   Intended audience: Fathers father figures and educators</w:t>
      </w:r>
    </w:p>
    <w:p>
      <w:r>
        <w:t>Examines the development of father identity, role expectations, life transitions, culture, strengths, stressors, and reflective practice.</w:t>
      </w:r>
    </w:p>
    <w:p>
      <w:pPr>
        <w:spacing w:after="40"/>
      </w:pPr>
      <w:r>
        <w:rPr>
          <w:b/>
        </w:rPr>
        <w:t>Learning outcomes</w:t>
      </w:r>
    </w:p>
    <w:p>
      <w:pPr>
        <w:pStyle w:val="ListBullet"/>
        <w:spacing w:after="40"/>
        <w:ind w:left="360" w:hanging="216"/>
      </w:pPr>
      <w:r>
        <w:t>Describe influences on father identity and role development.</w:t>
      </w:r>
    </w:p>
    <w:p>
      <w:pPr>
        <w:pStyle w:val="ListBullet"/>
        <w:spacing w:after="40"/>
        <w:ind w:left="360" w:hanging="216"/>
      </w:pPr>
      <w:r>
        <w:t>Evaluate personal and cultural expectations without prescribing one family form.</w:t>
      </w:r>
    </w:p>
    <w:p>
      <w:pPr>
        <w:pStyle w:val="ListBullet"/>
        <w:spacing w:after="40"/>
        <w:ind w:left="360" w:hanging="216"/>
      </w:pPr>
      <w:r>
        <w:t>Develop a strengths based fatherhood growth plan.</w:t>
      </w:r>
    </w:p>
    <w:p>
      <w:pPr>
        <w:pStyle w:val="Heading2"/>
        <w:keepNext/>
      </w:pPr>
      <w:r>
        <w:t>FAM 120  Child Development for Fathers and Father Figures</w:t>
      </w:r>
    </w:p>
    <w:p>
      <w:pPr>
        <w:keepNext/>
        <w:spacing w:after="100"/>
      </w:pPr>
      <w:r>
        <w:rPr>
          <w:b/>
          <w:sz w:val="19"/>
        </w:rPr>
        <w:t>Instructional hours: 12   |   Prerequisite: None   |   Intended audience: Fathers father figures and coparents</w:t>
      </w:r>
    </w:p>
    <w:p>
      <w:r>
        <w:t>Applies child development knowledge from birth through age 18 to father child interaction, expectations, routines, play, learning, and guidance.</w:t>
      </w:r>
    </w:p>
    <w:p>
      <w:pPr>
        <w:spacing w:after="40"/>
      </w:pPr>
      <w:r>
        <w:rPr>
          <w:b/>
        </w:rPr>
        <w:t>Learning outcomes</w:t>
      </w:r>
    </w:p>
    <w:p>
      <w:pPr>
        <w:pStyle w:val="ListBullet"/>
        <w:spacing w:after="40"/>
        <w:ind w:left="360" w:hanging="216"/>
      </w:pPr>
      <w:r>
        <w:t>Match expectations and activities to developmental stages.</w:t>
      </w:r>
    </w:p>
    <w:p>
      <w:pPr>
        <w:pStyle w:val="ListBullet"/>
        <w:spacing w:after="40"/>
        <w:ind w:left="360" w:hanging="216"/>
      </w:pPr>
      <w:r>
        <w:t>Use responsive interaction strategies across childhood and adolescence.</w:t>
      </w:r>
    </w:p>
    <w:p>
      <w:pPr>
        <w:pStyle w:val="ListBullet"/>
        <w:spacing w:after="40"/>
        <w:ind w:left="360" w:hanging="216"/>
      </w:pPr>
      <w:r>
        <w:t>Recognize concerns requiring referral to qualified professionals.</w:t>
      </w:r>
    </w:p>
    <w:p>
      <w:pPr>
        <w:pStyle w:val="Heading2"/>
        <w:keepNext/>
      </w:pPr>
      <w:r>
        <w:t>FAM 130  Father Child Relationships and Communication</w:t>
      </w:r>
    </w:p>
    <w:p>
      <w:pPr>
        <w:keepNext/>
        <w:spacing w:after="100"/>
      </w:pPr>
      <w:r>
        <w:rPr>
          <w:b/>
          <w:sz w:val="19"/>
        </w:rPr>
        <w:t>Instructional hours: 12   |   Prerequisite: None   |   Intended audience: Fathers father figures and parent educators</w:t>
      </w:r>
    </w:p>
    <w:p>
      <w:r>
        <w:t>Develops practical skills for connection, listening, emotional availability, conflict repair, encouragement, and consistent communication.</w:t>
      </w:r>
    </w:p>
    <w:p>
      <w:pPr>
        <w:spacing w:after="40"/>
      </w:pPr>
      <w:r>
        <w:rPr>
          <w:b/>
        </w:rPr>
        <w:t>Learning outcomes</w:t>
      </w:r>
    </w:p>
    <w:p>
      <w:pPr>
        <w:pStyle w:val="ListBullet"/>
        <w:spacing w:after="40"/>
        <w:ind w:left="360" w:hanging="216"/>
      </w:pPr>
      <w:r>
        <w:t>Demonstrate active listening and age appropriate communication.</w:t>
      </w:r>
    </w:p>
    <w:p>
      <w:pPr>
        <w:pStyle w:val="ListBullet"/>
        <w:spacing w:after="40"/>
        <w:ind w:left="360" w:hanging="216"/>
      </w:pPr>
      <w:r>
        <w:t>Use relationship repair after conflict or disconnection.</w:t>
      </w:r>
    </w:p>
    <w:p>
      <w:pPr>
        <w:pStyle w:val="ListBullet"/>
        <w:spacing w:after="40"/>
        <w:ind w:left="360" w:hanging="216"/>
      </w:pPr>
      <w:r>
        <w:t>Plan regular practices that strengthen father child connection.</w:t>
      </w:r>
    </w:p>
    <w:p>
      <w:pPr>
        <w:pStyle w:val="Heading2"/>
        <w:keepNext/>
      </w:pPr>
      <w:r>
        <w:t>FAM 140  Coparenting Family Systems and Partnership</w:t>
      </w:r>
    </w:p>
    <w:p>
      <w:pPr>
        <w:keepNext/>
        <w:spacing w:after="100"/>
      </w:pPr>
      <w:r>
        <w:rPr>
          <w:b/>
          <w:sz w:val="19"/>
        </w:rPr>
        <w:t>Instructional hours: 12   |   Prerequisite: None   |   Intended audience: Fathers coparents and family support staff</w:t>
      </w:r>
    </w:p>
    <w:p>
      <w:r>
        <w:t>Explores cooperative parenting, boundaries, family systems, communication between caregivers, and child centered decision making across diverse family structures.</w:t>
      </w:r>
    </w:p>
    <w:p>
      <w:pPr>
        <w:spacing w:after="40"/>
      </w:pPr>
      <w:r>
        <w:rPr>
          <w:b/>
        </w:rPr>
        <w:t>Learning outcomes</w:t>
      </w:r>
    </w:p>
    <w:p>
      <w:pPr>
        <w:pStyle w:val="ListBullet"/>
        <w:spacing w:after="40"/>
        <w:ind w:left="360" w:hanging="216"/>
      </w:pPr>
      <w:r>
        <w:t>Explain how coparenting patterns can affect children.</w:t>
      </w:r>
    </w:p>
    <w:p>
      <w:pPr>
        <w:pStyle w:val="ListBullet"/>
        <w:spacing w:after="40"/>
        <w:ind w:left="360" w:hanging="216"/>
      </w:pPr>
      <w:r>
        <w:t>Use respectful communication and boundary setting practices.</w:t>
      </w:r>
    </w:p>
    <w:p>
      <w:pPr>
        <w:pStyle w:val="ListBullet"/>
        <w:spacing w:after="40"/>
        <w:ind w:left="360" w:hanging="216"/>
      </w:pPr>
      <w:r>
        <w:t>Create a child centered plan for shared routines and information.</w:t>
      </w:r>
    </w:p>
    <w:p>
      <w:pPr>
        <w:pStyle w:val="Heading2"/>
        <w:keepNext/>
      </w:pPr>
      <w:r>
        <w:t>FAM 210  Responsible Father Engagement and Family Stability</w:t>
      </w:r>
    </w:p>
    <w:p>
      <w:pPr>
        <w:keepNext/>
        <w:spacing w:after="100"/>
      </w:pPr>
      <w:r>
        <w:rPr>
          <w:b/>
          <w:sz w:val="19"/>
        </w:rPr>
        <w:t>Instructional hours: 12   |   Prerequisite: FAM 101 recommended   |   Intended audience: Fathers mentors and community professionals</w:t>
      </w:r>
    </w:p>
    <w:p>
      <w:r>
        <w:t>Addresses consistent involvement, caregiving responsibilities, work and family demands, resource navigation, financial wellbeing education, and barriers to engagement.</w:t>
      </w:r>
    </w:p>
    <w:p>
      <w:pPr>
        <w:spacing w:after="40"/>
      </w:pPr>
      <w:r>
        <w:rPr>
          <w:b/>
        </w:rPr>
        <w:t>Learning outcomes</w:t>
      </w:r>
    </w:p>
    <w:p>
      <w:pPr>
        <w:pStyle w:val="ListBullet"/>
        <w:spacing w:after="40"/>
        <w:ind w:left="360" w:hanging="216"/>
      </w:pPr>
      <w:r>
        <w:t>Identify practical barriers and supports affecting father engagement.</w:t>
      </w:r>
    </w:p>
    <w:p>
      <w:pPr>
        <w:pStyle w:val="ListBullet"/>
        <w:spacing w:after="40"/>
        <w:ind w:left="360" w:hanging="216"/>
      </w:pPr>
      <w:r>
        <w:t>Develop realistic commitments for caregiving and family participation.</w:t>
      </w:r>
    </w:p>
    <w:p>
      <w:pPr>
        <w:pStyle w:val="ListBullet"/>
        <w:spacing w:after="40"/>
        <w:ind w:left="360" w:hanging="216"/>
      </w:pPr>
      <w:r>
        <w:t>Connect families with appropriate community resources without practicing outside role boundaries.</w:t>
      </w:r>
    </w:p>
    <w:p>
      <w:pPr>
        <w:pStyle w:val="Heading2"/>
        <w:keepNext/>
      </w:pPr>
      <w:r>
        <w:t>FAM 220  Fatherhood Education Facilitation and Community Practice</w:t>
      </w:r>
    </w:p>
    <w:p>
      <w:pPr>
        <w:keepNext/>
        <w:spacing w:after="100"/>
      </w:pPr>
      <w:r>
        <w:rPr>
          <w:b/>
          <w:sz w:val="19"/>
        </w:rPr>
        <w:t>Instructional hours: 12   |   Prerequisite: FAM 101 recommended   |   Intended audience: Parent educators mentors and program staff</w:t>
      </w:r>
    </w:p>
    <w:p>
      <w:r>
        <w:t>Prepares learners to plan inclusive, evidence informed parent education sessions, facilitate discussion, protect privacy, and evaluate participant learning.</w:t>
      </w:r>
    </w:p>
    <w:p>
      <w:pPr>
        <w:spacing w:after="40"/>
      </w:pPr>
      <w:r>
        <w:rPr>
          <w:b/>
        </w:rPr>
        <w:t>Learning outcomes</w:t>
      </w:r>
    </w:p>
    <w:p>
      <w:pPr>
        <w:pStyle w:val="ListBullet"/>
        <w:spacing w:after="40"/>
        <w:ind w:left="360" w:hanging="216"/>
      </w:pPr>
      <w:r>
        <w:t>Write measurable objectives for a fatherhood education session.</w:t>
      </w:r>
    </w:p>
    <w:p>
      <w:pPr>
        <w:pStyle w:val="ListBullet"/>
        <w:spacing w:after="40"/>
        <w:ind w:left="360" w:hanging="216"/>
      </w:pPr>
      <w:r>
        <w:t>Facilitate inclusive discussion without stigma or coercion.</w:t>
      </w:r>
    </w:p>
    <w:p>
      <w:pPr>
        <w:pStyle w:val="ListBullet"/>
        <w:spacing w:after="40"/>
        <w:ind w:left="360" w:hanging="216"/>
      </w:pPr>
      <w:r>
        <w:t>Select accessible learning activities and basic evaluation methods.</w:t>
      </w:r>
    </w:p>
    <w:p>
      <w:pPr>
        <w:pStyle w:val="Heading2"/>
        <w:keepNext/>
      </w:pPr>
      <w:r>
        <w:t>FAM 290  Fatherhood Education Action Plan</w:t>
      </w:r>
    </w:p>
    <w:p>
      <w:pPr>
        <w:keepNext/>
        <w:spacing w:after="100"/>
      </w:pPr>
      <w:r>
        <w:rPr>
          <w:b/>
          <w:sz w:val="19"/>
        </w:rPr>
        <w:t>Instructional hours: 12   |   Prerequisite: FAM 101 through FAM 220   |   Intended audience: FAMILY program completers</w:t>
      </w:r>
    </w:p>
    <w:p>
      <w:r>
        <w:t>Integrates the sequence through an applied plan for a family, peer group, or community setting, including needs, objectives, learning activities, resources, safeguards, and evaluation.</w:t>
      </w:r>
    </w:p>
    <w:p>
      <w:pPr>
        <w:spacing w:after="40"/>
      </w:pPr>
      <w:r>
        <w:rPr>
          <w:b/>
        </w:rPr>
        <w:t>Learning outcomes</w:t>
      </w:r>
    </w:p>
    <w:p>
      <w:pPr>
        <w:pStyle w:val="ListBullet"/>
        <w:spacing w:after="40"/>
        <w:ind w:left="360" w:hanging="216"/>
      </w:pPr>
      <w:r>
        <w:t>Design an evidence informed fatherhood education action plan.</w:t>
      </w:r>
    </w:p>
    <w:p>
      <w:pPr>
        <w:pStyle w:val="ListBullet"/>
        <w:spacing w:after="40"/>
        <w:ind w:left="360" w:hanging="216"/>
      </w:pPr>
      <w:r>
        <w:t>Align objectives, activities, assessment, and learner protections.</w:t>
      </w:r>
    </w:p>
    <w:p>
      <w:pPr>
        <w:pStyle w:val="ListBullet"/>
        <w:spacing w:after="40"/>
        <w:ind w:left="360" w:hanging="216"/>
      </w:pPr>
      <w:r>
        <w:t>Document limitations, referral procedures, and improvement measures.</w:t>
      </w:r>
    </w:p>
    <w:p>
      <w:r>
        <w:br w:type="page"/>
      </w:r>
    </w:p>
    <w:p>
      <w:pPr>
        <w:pStyle w:val="Heading1"/>
      </w:pPr>
      <w:r>
        <w:t>Assessment and completion framework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160"/>
            <w:shd w:fill="17365D"/>
            <w:tcMar>
              <w:top w:w="110" w:type="dxa"/>
              <w:start w:w="120" w:type="dxa"/>
              <w:bottom w:w="110" w:type="dxa"/>
              <w:end w:w="120" w:type="dxa"/>
            </w:tcMar>
            <w:vAlign w:val="center"/>
          </w:tcPr>
          <w:p>
            <w:pPr>
              <w:jc w:val="center"/>
            </w:pPr>
            <w:r>
              <w:rPr>
                <w:b/>
                <w:color w:val="FFFFFF"/>
                <w:sz w:val="19"/>
              </w:rPr>
              <w:t>Assessment type</w:t>
            </w:r>
          </w:p>
        </w:tc>
        <w:tc>
          <w:tcPr>
            <w:tcW w:type="dxa" w:w="3456"/>
            <w:shd w:fill="17365D"/>
            <w:tcMar>
              <w:top w:w="110" w:type="dxa"/>
              <w:start w:w="120" w:type="dxa"/>
              <w:bottom w:w="110" w:type="dxa"/>
              <w:end w:w="120" w:type="dxa"/>
            </w:tcMar>
            <w:vAlign w:val="center"/>
          </w:tcPr>
          <w:p>
            <w:pPr>
              <w:jc w:val="center"/>
            </w:pPr>
            <w:r>
              <w:rPr>
                <w:b/>
                <w:color w:val="FFFFFF"/>
                <w:sz w:val="19"/>
              </w:rPr>
              <w:t>Purpose</w:t>
            </w:r>
          </w:p>
        </w:tc>
        <w:tc>
          <w:tcPr>
            <w:tcW w:type="dxa" w:w="4320"/>
            <w:shd w:fill="17365D"/>
            <w:tcMar>
              <w:top w:w="110" w:type="dxa"/>
              <w:start w:w="120" w:type="dxa"/>
              <w:bottom w:w="110" w:type="dxa"/>
              <w:end w:w="120" w:type="dxa"/>
            </w:tcMar>
            <w:vAlign w:val="center"/>
          </w:tcPr>
          <w:p>
            <w:pPr>
              <w:jc w:val="center"/>
            </w:pPr>
            <w:r>
              <w:rPr>
                <w:b/>
                <w:color w:val="FFFFFF"/>
                <w:sz w:val="19"/>
              </w:rPr>
              <w:t>Typical evidence</w:t>
            </w:r>
          </w:p>
        </w:tc>
      </w:tr>
      <w:tr>
        <w:trPr>
          <w:cantSplit/>
        </w:trPr>
        <w:tc>
          <w:tcPr>
            <w:tcW w:type="dxa" w:w="2160"/>
            <w:tcMar>
              <w:top w:w="110" w:type="dxa"/>
              <w:start w:w="120" w:type="dxa"/>
              <w:bottom w:w="110" w:type="dxa"/>
              <w:end w:w="120" w:type="dxa"/>
            </w:tcMar>
            <w:vAlign w:val="center"/>
          </w:tcPr>
          <w:p>
            <w:pPr>
              <w:spacing w:after="0" w:line="252" w:lineRule="auto"/>
            </w:pPr>
            <w:r>
              <w:rPr>
                <w:b/>
                <w:sz w:val="18"/>
              </w:rPr>
              <w:t>Knowledge checks</w:t>
            </w:r>
          </w:p>
        </w:tc>
        <w:tc>
          <w:tcPr>
            <w:tcW w:type="dxa" w:w="3456"/>
            <w:tcMar>
              <w:top w:w="110" w:type="dxa"/>
              <w:start w:w="120" w:type="dxa"/>
              <w:bottom w:w="110" w:type="dxa"/>
              <w:end w:w="120" w:type="dxa"/>
            </w:tcMar>
            <w:vAlign w:val="center"/>
          </w:tcPr>
          <w:p>
            <w:pPr>
              <w:spacing w:after="0" w:line="252" w:lineRule="auto"/>
            </w:pPr>
            <w:r>
              <w:rPr>
                <w:sz w:val="18"/>
              </w:rPr>
              <w:t>Confirm understanding of key concepts and role boundaries</w:t>
            </w:r>
          </w:p>
        </w:tc>
        <w:tc>
          <w:tcPr>
            <w:tcW w:type="dxa" w:w="4320"/>
            <w:tcMar>
              <w:top w:w="110" w:type="dxa"/>
              <w:start w:w="120" w:type="dxa"/>
              <w:bottom w:w="110" w:type="dxa"/>
              <w:end w:w="120" w:type="dxa"/>
            </w:tcMar>
            <w:vAlign w:val="center"/>
          </w:tcPr>
          <w:p>
            <w:pPr>
              <w:spacing w:after="0" w:line="252" w:lineRule="auto"/>
            </w:pPr>
            <w:r>
              <w:rPr>
                <w:sz w:val="18"/>
              </w:rPr>
              <w:t>Short quizzes or scenario questions</w:t>
            </w:r>
          </w:p>
        </w:tc>
      </w:tr>
      <w:tr>
        <w:trPr>
          <w:cantSplit/>
        </w:trPr>
        <w:tc>
          <w:tcPr>
            <w:tcW w:type="dxa" w:w="2160"/>
            <w:tcMar>
              <w:top w:w="110" w:type="dxa"/>
              <w:start w:w="120" w:type="dxa"/>
              <w:bottom w:w="110" w:type="dxa"/>
              <w:end w:w="120" w:type="dxa"/>
            </w:tcMar>
            <w:vAlign w:val="center"/>
            <w:shd w:fill="F4F7FA"/>
          </w:tcPr>
          <w:p>
            <w:pPr>
              <w:spacing w:after="0" w:line="252" w:lineRule="auto"/>
            </w:pPr>
            <w:r>
              <w:rPr>
                <w:b/>
                <w:sz w:val="18"/>
              </w:rPr>
              <w:t>Applied activities</w:t>
            </w:r>
          </w:p>
        </w:tc>
        <w:tc>
          <w:tcPr>
            <w:tcW w:type="dxa" w:w="3456"/>
            <w:tcMar>
              <w:top w:w="110" w:type="dxa"/>
              <w:start w:w="120" w:type="dxa"/>
              <w:bottom w:w="110" w:type="dxa"/>
              <w:end w:w="120" w:type="dxa"/>
            </w:tcMar>
            <w:vAlign w:val="center"/>
            <w:shd w:fill="F4F7FA"/>
          </w:tcPr>
          <w:p>
            <w:pPr>
              <w:spacing w:after="0" w:line="252" w:lineRule="auto"/>
            </w:pPr>
            <w:r>
              <w:rPr>
                <w:sz w:val="18"/>
              </w:rPr>
              <w:t>Transfer concepts to realistic family and community settings</w:t>
            </w:r>
          </w:p>
        </w:tc>
        <w:tc>
          <w:tcPr>
            <w:tcW w:type="dxa" w:w="4320"/>
            <w:tcMar>
              <w:top w:w="110" w:type="dxa"/>
              <w:start w:w="120" w:type="dxa"/>
              <w:bottom w:w="110" w:type="dxa"/>
              <w:end w:w="120" w:type="dxa"/>
            </w:tcMar>
            <w:vAlign w:val="center"/>
            <w:shd w:fill="F4F7FA"/>
          </w:tcPr>
          <w:p>
            <w:pPr>
              <w:spacing w:after="0" w:line="252" w:lineRule="auto"/>
            </w:pPr>
            <w:r>
              <w:rPr>
                <w:sz w:val="18"/>
              </w:rPr>
              <w:t>Plans, observations, resource maps, or communication exercises</w:t>
            </w:r>
          </w:p>
        </w:tc>
      </w:tr>
      <w:tr>
        <w:trPr>
          <w:cantSplit/>
        </w:trPr>
        <w:tc>
          <w:tcPr>
            <w:tcW w:type="dxa" w:w="2160"/>
            <w:tcMar>
              <w:top w:w="110" w:type="dxa"/>
              <w:start w:w="120" w:type="dxa"/>
              <w:bottom w:w="110" w:type="dxa"/>
              <w:end w:w="120" w:type="dxa"/>
            </w:tcMar>
            <w:vAlign w:val="center"/>
          </w:tcPr>
          <w:p>
            <w:pPr>
              <w:spacing w:after="0" w:line="252" w:lineRule="auto"/>
            </w:pPr>
            <w:r>
              <w:rPr>
                <w:b/>
                <w:sz w:val="18"/>
              </w:rPr>
              <w:t>Reflection</w:t>
            </w:r>
          </w:p>
        </w:tc>
        <w:tc>
          <w:tcPr>
            <w:tcW w:type="dxa" w:w="3456"/>
            <w:tcMar>
              <w:top w:w="110" w:type="dxa"/>
              <w:start w:w="120" w:type="dxa"/>
              <w:bottom w:w="110" w:type="dxa"/>
              <w:end w:w="120" w:type="dxa"/>
            </w:tcMar>
            <w:vAlign w:val="center"/>
          </w:tcPr>
          <w:p>
            <w:pPr>
              <w:spacing w:after="0" w:line="252" w:lineRule="auto"/>
            </w:pPr>
            <w:r>
              <w:rPr>
                <w:sz w:val="18"/>
              </w:rPr>
              <w:t>Support self awareness and responsible application</w:t>
            </w:r>
          </w:p>
        </w:tc>
        <w:tc>
          <w:tcPr>
            <w:tcW w:type="dxa" w:w="4320"/>
            <w:tcMar>
              <w:top w:w="110" w:type="dxa"/>
              <w:start w:w="120" w:type="dxa"/>
              <w:bottom w:w="110" w:type="dxa"/>
              <w:end w:w="120" w:type="dxa"/>
            </w:tcMar>
            <w:vAlign w:val="center"/>
          </w:tcPr>
          <w:p>
            <w:pPr>
              <w:spacing w:after="0" w:line="252" w:lineRule="auto"/>
            </w:pPr>
            <w:r>
              <w:rPr>
                <w:sz w:val="18"/>
              </w:rPr>
              <w:t>Brief written, audio, or accessible alternative response</w:t>
            </w:r>
          </w:p>
        </w:tc>
      </w:tr>
      <w:tr>
        <w:trPr>
          <w:cantSplit/>
        </w:trPr>
        <w:tc>
          <w:tcPr>
            <w:tcW w:type="dxa" w:w="2160"/>
            <w:tcMar>
              <w:top w:w="110" w:type="dxa"/>
              <w:start w:w="120" w:type="dxa"/>
              <w:bottom w:w="110" w:type="dxa"/>
              <w:end w:w="120" w:type="dxa"/>
            </w:tcMar>
            <w:vAlign w:val="center"/>
            <w:shd w:fill="F4F7FA"/>
          </w:tcPr>
          <w:p>
            <w:pPr>
              <w:spacing w:after="0" w:line="252" w:lineRule="auto"/>
            </w:pPr>
            <w:r>
              <w:rPr>
                <w:b/>
                <w:sz w:val="18"/>
              </w:rPr>
              <w:t>Final portfolio or action plan</w:t>
            </w:r>
          </w:p>
        </w:tc>
        <w:tc>
          <w:tcPr>
            <w:tcW w:type="dxa" w:w="3456"/>
            <w:tcMar>
              <w:top w:w="110" w:type="dxa"/>
              <w:start w:w="120" w:type="dxa"/>
              <w:bottom w:w="110" w:type="dxa"/>
              <w:end w:w="120" w:type="dxa"/>
            </w:tcMar>
            <w:vAlign w:val="center"/>
            <w:shd w:fill="F4F7FA"/>
          </w:tcPr>
          <w:p>
            <w:pPr>
              <w:spacing w:after="0" w:line="252" w:lineRule="auto"/>
            </w:pPr>
            <w:r>
              <w:rPr>
                <w:sz w:val="18"/>
              </w:rPr>
              <w:t>Demonstrate integration across the complete sequence</w:t>
            </w:r>
          </w:p>
        </w:tc>
        <w:tc>
          <w:tcPr>
            <w:tcW w:type="dxa" w:w="4320"/>
            <w:tcMar>
              <w:top w:w="110" w:type="dxa"/>
              <w:start w:w="120" w:type="dxa"/>
              <w:bottom w:w="110" w:type="dxa"/>
              <w:end w:w="120" w:type="dxa"/>
            </w:tcMar>
            <w:vAlign w:val="center"/>
            <w:shd w:fill="F4F7FA"/>
          </w:tcPr>
          <w:p>
            <w:pPr>
              <w:spacing w:after="0" w:line="252" w:lineRule="auto"/>
            </w:pPr>
            <w:r>
              <w:rPr>
                <w:sz w:val="18"/>
              </w:rPr>
              <w:t>Organized artifact with objectives, evidence, safeguards, referrals, and evaluation</w:t>
            </w:r>
          </w:p>
        </w:tc>
      </w:tr>
    </w:tbl>
    <w:p>
      <w:pPr>
        <w:spacing w:after="0"/>
      </w:pPr>
    </w:p>
    <w:p>
      <w:pPr>
        <w:pStyle w:val="Heading1"/>
      </w:pPr>
      <w:r>
        <w:t>Course numbering and transcript language</w:t>
      </w:r>
    </w:p>
    <w:p>
      <w:r>
        <w:t>Numbers in the 100 series identify introductory and developmental courses. Numbers in the 200 series identify applied integration courses. The 290 courses are culminating noncredit projects. Completion records should state the course title, instructional hours, completion date, and the phrase noncredit educational course. They should not use the terms college credit, degree, diploma, licensure, certification, or accredited unless separately authorized.</w:t>
      </w:r>
    </w:p>
    <w:p>
      <w:pPr>
        <w:pStyle w:val="Heading1"/>
      </w:pPr>
      <w:r>
        <w:t>Catalog policies</w:t>
      </w:r>
    </w:p>
    <w:p>
      <w:pPr>
        <w:spacing w:after="100"/>
      </w:pPr>
      <w:r>
        <w:rPr>
          <w:b/>
        </w:rPr>
        <w:t xml:space="preserve">Admission. </w:t>
      </w:r>
      <w:r>
        <w:t>Open enrollment for adults unless a course lists a prerequisite. Participation by minors requires a separately approved enrollment, consent, privacy, and safeguarding process.</w:t>
      </w:r>
    </w:p>
    <w:p>
      <w:pPr>
        <w:spacing w:after="100"/>
      </w:pPr>
      <w:r>
        <w:rPr>
          <w:b/>
        </w:rPr>
        <w:t xml:space="preserve">Attendance and participation. </w:t>
      </w:r>
      <w:r>
        <w:t>Learners complete the published activities for the delivery format. Facilitated offerings may establish reasonable attendance expectations before enrollment.</w:t>
      </w:r>
    </w:p>
    <w:p>
      <w:pPr>
        <w:spacing w:after="100"/>
      </w:pPr>
      <w:r>
        <w:rPr>
          <w:b/>
        </w:rPr>
        <w:t xml:space="preserve">Assessment and reassessment. </w:t>
      </w:r>
      <w:r>
        <w:t>Learners receive clear criteria and a reasonable opportunity to retry knowledge checks or revise applied work when educationally appropriate.</w:t>
      </w:r>
    </w:p>
    <w:p>
      <w:pPr>
        <w:spacing w:after="100"/>
      </w:pPr>
      <w:r>
        <w:rPr>
          <w:b/>
        </w:rPr>
        <w:t xml:space="preserve">Accessibility and accommodations. </w:t>
      </w:r>
      <w:r>
        <w:t>The Foundation will provide accessible digital materials and a process for requesting reasonable access support. Accessibility requests will not be used to discourage participation.</w:t>
      </w:r>
    </w:p>
    <w:p>
      <w:pPr>
        <w:spacing w:after="100"/>
      </w:pPr>
      <w:r>
        <w:rPr>
          <w:b/>
        </w:rPr>
        <w:t xml:space="preserve">Nondiscrimination. </w:t>
      </w:r>
      <w:r>
        <w:t>Programs will be delivered without unlawful discrimination and will respect diverse family structures, cultures, abilities, and caregiving roles.</w:t>
      </w:r>
    </w:p>
    <w:p>
      <w:pPr>
        <w:spacing w:after="100"/>
      </w:pPr>
      <w:r>
        <w:rPr>
          <w:b/>
        </w:rPr>
        <w:t xml:space="preserve">Privacy and records. </w:t>
      </w:r>
      <w:r>
        <w:t>Only necessary learner data will be collected. Published privacy, retention, correction, and deletion practices govern program records.</w:t>
      </w:r>
    </w:p>
    <w:p>
      <w:pPr>
        <w:spacing w:after="100"/>
      </w:pPr>
      <w:r>
        <w:rPr>
          <w:b/>
        </w:rPr>
        <w:t xml:space="preserve">Child safety and referrals. </w:t>
      </w:r>
      <w:r>
        <w:t>Courses provide education, not diagnosis, therapy, legal representation, or emergency services. Safety concerns must be directed to appropriate emergency, protective, health, legal, or licensed professional resources.</w:t>
      </w:r>
    </w:p>
    <w:p>
      <w:pPr>
        <w:spacing w:after="100"/>
      </w:pPr>
      <w:r>
        <w:rPr>
          <w:b/>
        </w:rPr>
        <w:t xml:space="preserve">Content and evidence review. </w:t>
      </w:r>
      <w:r>
        <w:t>Instructional materials should identify credible sources, distinguish evidence from opinion, disclose material limitations, and receive scheduled content review.</w:t>
      </w:r>
    </w:p>
    <w:p>
      <w:pPr>
        <w:spacing w:after="100"/>
      </w:pPr>
      <w:r>
        <w:rPr>
          <w:b/>
        </w:rPr>
        <w:t xml:space="preserve">Complaints and appeals. </w:t>
      </w:r>
      <w:r>
        <w:t>Learners will have a published process for submitting concerns, receiving a timely response, and requesting an internal review.</w:t>
      </w:r>
    </w:p>
    <w:p>
      <w:pPr>
        <w:spacing w:after="100"/>
      </w:pPr>
      <w:r>
        <w:rPr>
          <w:b/>
        </w:rPr>
        <w:t xml:space="preserve">Catalog changes. </w:t>
      </w:r>
      <w:r>
        <w:t>The Foundation may revise schedules and content while protecting enrolled learners from misleading representations. Material changes will be dated and communicated.</w:t>
      </w:r>
    </w:p>
    <w:p>
      <w:pPr>
        <w:pStyle w:val="Heading1"/>
      </w:pPr>
      <w:r>
        <w:t>Public disclosure language</w:t>
      </w:r>
    </w:p>
    <w:p>
      <w:r>
        <w:t>Recommended website statement: Village Strong and FAMILY provide noncredit educational content. CIP references describe subject matter only. The programs are not represented as accredited postsecondary degree programs and do not award college credit, professional licensure, or an occupational credential.</w:t>
      </w:r>
    </w:p>
    <w:p>
      <w:r>
        <w:br w:type="page"/>
      </w:r>
    </w:p>
    <w:p>
      <w:pPr>
        <w:pStyle w:val="Heading1"/>
      </w:pPr>
      <w:r>
        <w:t>Classification and policy references</w:t>
      </w:r>
    </w:p>
    <w:p>
      <w:pPr>
        <w:pStyle w:val="ListBullet"/>
        <w:spacing w:after="100"/>
      </w:pPr>
      <w:r>
        <w:rPr>
          <w:b/>
        </w:rPr>
        <w:t xml:space="preserve">National Center for Education Statistics. </w:t>
      </w:r>
      <w:hyperlink r:id="rId10">
        <w:r>
          <w:rPr>
            <w:color w:val="0563C1"/>
            <w:u w:val="single"/>
          </w:rPr>
          <w:t>CIP 19.0701 Human Development and Family Studies General</w:t>
        </w:r>
      </w:hyperlink>
    </w:p>
    <w:p>
      <w:pPr>
        <w:pStyle w:val="ListBullet"/>
        <w:spacing w:after="100"/>
      </w:pPr>
      <w:r>
        <w:rPr>
          <w:b/>
        </w:rPr>
        <w:t xml:space="preserve">National Center for Education Statistics. </w:t>
      </w:r>
      <w:hyperlink r:id="rId11">
        <w:r>
          <w:rPr>
            <w:color w:val="0563C1"/>
            <w:u w:val="single"/>
          </w:rPr>
          <w:t>CIP 19.0712 Parent Education Services</w:t>
        </w:r>
      </w:hyperlink>
    </w:p>
    <w:p>
      <w:pPr>
        <w:pStyle w:val="ListBullet"/>
        <w:spacing w:after="100"/>
      </w:pPr>
      <w:r>
        <w:rPr>
          <w:b/>
        </w:rPr>
        <w:t xml:space="preserve">Kentucky Council on Postsecondary Education. </w:t>
      </w:r>
      <w:hyperlink r:id="rId12">
        <w:r>
          <w:rPr>
            <w:color w:val="0563C1"/>
            <w:u w:val="single"/>
          </w:rPr>
          <w:t>New Academic Program Approval and Policies</w:t>
        </w:r>
      </w:hyperlink>
    </w:p>
    <w:p>
      <w:pPr>
        <w:pStyle w:val="ListBullet"/>
        <w:spacing w:after="100"/>
      </w:pPr>
      <w:r>
        <w:rPr>
          <w:b/>
        </w:rPr>
        <w:t xml:space="preserve">Kentucky Council on Postsecondary Education. </w:t>
      </w:r>
      <w:hyperlink r:id="rId13">
        <w:r>
          <w:rPr>
            <w:color w:val="0563C1"/>
            <w:u w:val="single"/>
          </w:rPr>
          <w:t>Campus Licensure</w:t>
        </w:r>
      </w:hyperlink>
    </w:p>
    <w:p>
      <w:r>
        <w:t>Classification note. The Kentucky Council on Postsecondary Education is the current statewide coordinating body referenced in this catalog. Its academic program approval policy applies to programs at Kentucky public institutions, while its licensure authority includes private postsecondary institutions granting bachelor's degrees or higher. The Foundation should obtain a written jurisdictional determination before advertising any Kentucky postsecondary credit, degree, diploma, licensure preparation, or institutional credential.</w:t>
      </w:r>
    </w:p>
    <w:p>
      <w:pPr>
        <w:pStyle w:val="Heading1"/>
      </w:pPr>
      <w:r>
        <w:t>Program websites</w:t>
      </w:r>
    </w:p>
    <w:p>
      <w:r>
        <w:rPr>
          <w:b/>
        </w:rPr>
        <w:t xml:space="preserve">Village Strong: </w:t>
      </w:r>
      <w:hyperlink r:id="rId14">
        <w:r>
          <w:rPr>
            <w:color w:val="0563C1"/>
            <w:u w:val="single"/>
          </w:rPr>
          <w:t>https://villagestrongfoundation.org/village-strong</w:t>
        </w:r>
      </w:hyperlink>
    </w:p>
    <w:p>
      <w:r>
        <w:rPr>
          <w:b/>
        </w:rPr>
        <w:t xml:space="preserve">FAMILY: </w:t>
      </w:r>
      <w:hyperlink r:id="rId15">
        <w:r>
          <w:rPr>
            <w:color w:val="0563C1"/>
            <w:u w:val="single"/>
          </w:rPr>
          <w:t>https://villagestrongfoundation.org/family</w:t>
        </w:r>
      </w:hyperlink>
    </w:p>
    <w:p>
      <w:pPr>
        <w:pStyle w:val="Heading1"/>
      </w:pPr>
      <w:r>
        <w:t>Catalog contact</w:t>
      </w:r>
    </w:p>
    <w:p>
      <w:r>
        <w:t>Rafael Rodriguez Jr.</w:t>
        <w:br/>
        <w:t>Village Strong and FAMILY Foundation</w:t>
        <w:br/>
        <w:t>Email: rafael.rodriguez@gus.pittstate.edu</w:t>
      </w:r>
    </w:p>
    <w:sectPr w:rsidR="00FC693F" w:rsidRPr="0006063C" w:rsidSect="00034616">
      <w:footerReference w:type="default" r:id="rId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Village Strong and FAMILY Foundation Course Catalog   |   </w:t>
    </w:r>
    <w:r>
      <w:rPr>
        <w:color w:val="666666"/>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illagestrongfoundation.org/" TargetMode="External"/><Relationship Id="rId10" Type="http://schemas.openxmlformats.org/officeDocument/2006/relationships/hyperlink" Target="https://nces.ed.gov/ipeds/cipcode/cipdetail.aspx?cip=19.0701&amp;y=56" TargetMode="External"/><Relationship Id="rId11" Type="http://schemas.openxmlformats.org/officeDocument/2006/relationships/hyperlink" Target="https://nces.ed.gov/ipeds/cipcode/cipdetail.aspx?cip=19.0712&amp;y=56" TargetMode="External"/><Relationship Id="rId12" Type="http://schemas.openxmlformats.org/officeDocument/2006/relationships/hyperlink" Target="https://cpe.ky.gov/ourwork/academicprogramapproval.html" TargetMode="External"/><Relationship Id="rId13" Type="http://schemas.openxmlformats.org/officeDocument/2006/relationships/hyperlink" Target="https://cpe.ky.gov/ourwork/licensure.html" TargetMode="External"/><Relationship Id="rId14" Type="http://schemas.openxmlformats.org/officeDocument/2006/relationships/hyperlink" Target="https://villagestrongfoundation.org/village-strong" TargetMode="External"/><Relationship Id="rId15" Type="http://schemas.openxmlformats.org/officeDocument/2006/relationships/hyperlink" Target="https://villagestrongfoundation.org/family"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Village Strong and FAMILY Foundation Course Catalog</dc:title>
  <dc:subject>Proposed noncredit course catalog aligned to CIP 19.0701 and 19.0712</dc:subject>
  <dc:creator>Village Strong and FAMILY Foundation</dc:creator>
  <cp:keywords>Village Strong, FAMILY, Fatherhood Science, child development, CIP 19.0701, CIP 19.0712</cp:keywords>
  <dc:description>generated by python-docx</dc:description>
  <cp:lastModifiedBy/>
  <cp:revision>1</cp:revision>
  <dcterms:created xsi:type="dcterms:W3CDTF">2013-12-23T23:15:00Z</dcterms:created>
  <dcterms:modified xsi:type="dcterms:W3CDTF">2013-12-23T23:15:00Z</dcterms:modified>
  <cp:category/>
</cp:coreProperties>
</file>