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36"/>
          <w:szCs w:val="36"/>
        </w:rPr>
        <w:t xml:space="preserve">一、研究背景与意义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随着信息技术的快速发展，规范化学术文档的排版质量日益受到重视。本文档用于演示一套可复用、可配置的排版规范，覆盖正文、四级标题、图、表与参考文献等核心要素，确保生成结果在 Word 中保持一致的视觉表现。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其中，图表标题的居中问题是历史生成方案的主要痛点之一。本方案通过将图题/表题改用单倍行距并显式置零缩进，从根源上消除了因继承正文 1.5 倍行距而导致的标题上下漂移与视觉不居中现象。</w:t>
      </w:r>
    </w:p>
    <w:p>
      <w:pPr>
        <w:pStyle w:val="Heading2"/>
        <w:spacing w:after="12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30"/>
          <w:szCs w:val="30"/>
        </w:rPr>
        <w:t xml:space="preserve">（一）图的排版规范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图片统一宽度等于正文宽度，高度按原始宽高比等比缩放，超高时以高度上限反向缩放；图片水平居中、不加边框，图题置于图下方，五号加粗居中，来源或注释以小五号左对齐排列。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581650" cy="3724275"/>
            <wp:effectExtent t="0" r="0" b="0" l="0"/>
            <wp:docPr id="1" name="图1" descr="各季度销售额对比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ind w:left="0" w:right="0" w:firstLine="0"/>
        <w:jc w:val="center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图1  各季度销售额对比</w:t>
      </w:r>
    </w:p>
    <w:p>
      <w:pPr>
        <w:spacing w:after="180" w:before="0" w:line="240" w:lineRule="auto"/>
        <w:ind w:left="0" w:right="0" w:firstLine="0"/>
        <w:jc w:val="left"/>
      </w:pPr>
      <w:r>
        <w:rPr>
          <w:rFonts w:ascii="Times New Roman" w:cs="Times New Roman" w:eastAsia="宋体" w:hAnsi="Times New Roman"/>
          <w:sz w:val="18"/>
          <w:szCs w:val="18"/>
        </w:rPr>
        <w:t xml:space="preserve">数据来源：示例数据，仅用于排版演示。</w:t>
      </w:r>
    </w:p>
    <w:p>
      <w:pPr>
        <w:pStyle w:val="Heading2"/>
        <w:spacing w:after="12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30"/>
          <w:szCs w:val="30"/>
        </w:rPr>
        <w:t xml:space="preserve">（二）表的排版规范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表题置于表上方，五号加粗居中；表格整体居中并占满正文宽度，单元格内容垂直且水平居中；注释或来源置于表下方，小五号左对齐。</w:t>
      </w:r>
    </w:p>
    <w:p>
      <w:pPr>
        <w:spacing w:after="80" w:before="180" w:line="240" w:lineRule="auto"/>
        <w:ind w:left="0" w:right="0" w:firstLine="0"/>
        <w:jc w:val="center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表1  主要指标年度对比</w:t>
      </w:r>
    </w:p>
    <w:tbl>
      <w:tblPr>
        <w:tblW w:type="dxa" w:w="8788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</w:rPr>
              <w:t xml:space="preserve">2023 年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</w:rPr>
              <w:t xml:space="preserve">2024 年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</w:rPr>
              <w:t xml:space="preserve">同比增长</w:t>
            </w:r>
          </w:p>
        </w:tc>
      </w:tr>
      <w:tr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营业收入（万元）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1,200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1,500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25.0%</w:t>
            </w:r>
          </w:p>
        </w:tc>
      </w:tr>
      <w:tr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净利润（万元）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180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225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25.0%</w:t>
            </w:r>
          </w:p>
        </w:tc>
      </w:tr>
      <w:tr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研发投入（万元）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96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135</w:t>
            </w:r>
          </w:p>
        </w:tc>
        <w:tc>
          <w:tcPr>
            <w:tcW w:type="dxa" w:w="2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4"/>
                <w:szCs w:val="24"/>
              </w:rPr>
              <w:t xml:space="preserve">40.6%</w:t>
            </w:r>
          </w:p>
        </w:tc>
      </w:tr>
    </w:tbl>
    <w:p>
      <w:pPr>
        <w:spacing w:after="180" w:before="60" w:line="240" w:lineRule="auto"/>
        <w:ind w:left="0" w:right="0" w:firstLine="0"/>
        <w:jc w:val="left"/>
      </w:pPr>
      <w:r>
        <w:rPr>
          <w:rFonts w:ascii="Times New Roman" w:cs="Times New Roman" w:eastAsia="宋体" w:hAnsi="Times New Roman"/>
          <w:sz w:val="18"/>
          <w:szCs w:val="18"/>
        </w:rPr>
        <w:t xml:space="preserve">注：以上数据为示例，不构成任何投资建议。</w:t>
      </w:r>
    </w:p>
    <w:p>
      <w:pPr>
        <w:pStyle w:val="Heading2"/>
        <w:spacing w:after="12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30"/>
          <w:szCs w:val="30"/>
        </w:rPr>
        <w:t xml:space="preserve">（三）四级标题演示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1. 三级标题示例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三级标题采用黑体四号，用于更细的章节划分。下方演示四级标题。</w:t>
      </w:r>
    </w:p>
    <w:p>
      <w:pPr>
        <w:pStyle w:val="Heading4"/>
        <w:spacing w:after="120" w:before="12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(1) 四级标题示例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四级标题采用黑体小四。autoHeading() 还可根据“一、/（一）/1./(1)”前缀自动识别层级。</w:t>
      </w:r>
    </w:p>
    <w:p>
      <w:pPr>
        <w:pStyle w:val="Heading1"/>
        <w:spacing w:after="180" w:before="360" w:line="360" w:lineRule="auto"/>
        <w:jc w:val="left"/>
      </w:pPr>
      <w:r>
        <w:rPr>
          <w:rFonts w:ascii="Times New Roman" w:cs="Times New Roman" w:eastAsia="黑体" w:hAnsi="Times New Roman"/>
          <w:b/>
          <w:bCs/>
          <w:color w:val="000000"/>
          <w:sz w:val="36"/>
          <w:szCs w:val="36"/>
        </w:rPr>
        <w:t xml:space="preserve">二、参考文献著录规范</w:t>
      </w:r>
    </w:p>
    <w:p>
      <w:pPr>
        <w:spacing w:after="0" w:line="360" w:lineRule="auto"/>
        <w:ind w:firstLine="48"/>
        <w:jc w:val="both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参考文献遵循 GB/T 7714 顺序编码制：正文引用以 [n] 编号，逾 3 位作者用“等”或“et al”；强制标注文献类型标识，电子文献使用复合标识（如 [J/OL]），网络资源须含引用日期。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[1] 王建国, 李明, 张华, 等. 现代排版工程[M]. 北京: 科学出版社, 2022.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[2] LIU Y, CHEN X, ZHAO M, et al. A study on document formatting consistency[J]. Journal of Publishing Science, 2023, 15(3): 45-52.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[3] 陈晓. 学术写作中的图表规范研究[D]. 上海: 复旦大学, 2021.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[4] 全国信息与文献标准化技术委员会. 信息与文献 参考文献著录规则: GB/T 7714—2015[S]. 北京: 中国标准出版社, 2015.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[5] 张伟, 刘洋. 电子文献引用规范的新进展[J/OL]. 中国科技期刊研究, 2024, 35(2): 88-95. https://doi.org/10.1234/example.2024.02.012 [2026-06-28].</w:t>
      </w:r>
    </w:p>
    <w:p>
      <w:pPr>
        <w:spacing w:after="60" w:before="0" w:line="240" w:lineRule="auto"/>
        <w:ind w:left="480" w:hanging="480"/>
        <w:jc w:val="both"/>
      </w:pPr>
      <w:r>
        <w:rPr>
          <w:rFonts w:ascii="Times New Roman" w:cs="Times New Roman" w:eastAsia="宋体" w:hAnsi="Times New Roman"/>
          <w:sz w:val="18"/>
          <w:szCs w:val="18"/>
        </w:rPr>
        <w:t xml:space="preserve">[6] 中华人民共和国国家统计局. 2024 年国民经济和社会发展统计公报[EB/OL]. . https://www.stats.gov.cn/example.htm [2026-06-28].</w:t>
      </w:r>
    </w:p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60" w:lineRule="auto"/>
      <w:outlineLvl w:val="0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黑体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  <w:outlineLvl w:val="2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20" w:before="120" w:line="360" w:lineRule="auto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e29843165e9eceaaa0c0b76b4fedb5fa803d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规范文档示例</dc:title>
  <dc:creator>规范文档生成器</dc:creator>
  <cp:lastModifiedBy>Un-named</cp:lastModifiedBy>
  <cp:revision>1</cp:revision>
  <dcterms:created xsi:type="dcterms:W3CDTF">2026-06-28T13:53:39.173Z</dcterms:created>
  <dcterms:modified xsi:type="dcterms:W3CDTF">2026-06-28T13:53:39.174Z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