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/>
        </w:rPr>
        <w:t>操作方法：</w:t>
      </w:r>
    </w:p>
    <w:p>
      <w:pPr>
        <w:numPr>
          <w:ilvl w:val="0"/>
          <w:numId w:val="1"/>
        </w:numPr>
      </w:pPr>
      <w:r>
        <w:rPr>
          <w:rFonts w:hint="eastAsia"/>
        </w:rPr>
        <w:t>模块编辑界面：</w:t>
      </w:r>
    </w:p>
    <w:p>
      <w:r>
        <w:rPr>
          <w:rFonts w:hint="eastAsia"/>
        </w:rPr>
        <w:t xml:space="preserve">    </w:t>
      </w:r>
      <w:r>
        <w:drawing>
          <wp:inline distT="0" distB="0" distL="114300" distR="114300">
            <wp:extent cx="5266055" cy="2545080"/>
            <wp:effectExtent l="0" t="0" r="1079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  <w:color w:val="FF0000"/>
        </w:rPr>
        <w:t>*</w:t>
      </w:r>
      <w:r>
        <w:rPr>
          <w:rFonts w:hint="eastAsia"/>
          <w:b/>
          <w:bCs/>
        </w:rPr>
        <w:t>为必填项</w:t>
      </w:r>
    </w:p>
    <w:p>
      <w:pPr>
        <w:numPr>
          <w:ilvl w:val="0"/>
          <w:numId w:val="2"/>
        </w:numPr>
      </w:pPr>
      <w:r>
        <w:rPr>
          <w:rFonts w:hint="eastAsia"/>
        </w:rPr>
        <w:t>左侧为基础组件，中间显示已选组件样式，右侧为模块设置界面；</w:t>
      </w:r>
    </w:p>
    <w:p>
      <w:pPr>
        <w:numPr>
          <w:ilvl w:val="0"/>
          <w:numId w:val="2"/>
        </w:numPr>
      </w:pPr>
      <w:r>
        <w:rPr>
          <w:rFonts w:hint="eastAsia"/>
        </w:rPr>
        <w:t>模块设置界面：</w:t>
      </w:r>
    </w:p>
    <w:p>
      <w:pPr>
        <w:numPr>
          <w:ilvl w:val="0"/>
          <w:numId w:val="3"/>
        </w:numPr>
      </w:pPr>
      <w:r>
        <w:rPr>
          <w:rFonts w:hint="eastAsia"/>
        </w:rPr>
        <w:t>模块名称：用于显示模块的名称；</w:t>
      </w:r>
    </w:p>
    <w:p>
      <w:pPr>
        <w:numPr>
          <w:ilvl w:val="0"/>
          <w:numId w:val="3"/>
        </w:numPr>
      </w:pPr>
      <w:r>
        <w:rPr>
          <w:rFonts w:hint="eastAsia"/>
        </w:rPr>
        <w:t>接口选择：该处为后端可用接口，选定接口后方可选择“可选参数”；</w:t>
      </w:r>
    </w:p>
    <w:p>
      <w:pPr>
        <w:numPr>
          <w:ilvl w:val="0"/>
          <w:numId w:val="3"/>
        </w:numPr>
      </w:pPr>
      <w:r>
        <w:rPr>
          <w:rFonts w:hint="eastAsia"/>
        </w:rPr>
        <w:t>可选参数：可选项来自于后端接口可用字段，选择好可以用字段以后，会随即产生相应的字段。如图所示：</w:t>
      </w:r>
    </w:p>
    <w:p>
      <w:r>
        <w:rPr>
          <w:rFonts w:hint="eastAsia"/>
        </w:rPr>
        <w:t xml:space="preserve">  </w:t>
      </w:r>
      <w:r>
        <w:drawing>
          <wp:inline distT="0" distB="0" distL="114300" distR="114300">
            <wp:extent cx="1377315" cy="2025650"/>
            <wp:effectExtent l="0" t="0" r="1333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</w:rPr>
        <w:t>是否单选：控制数据显示时是否可以同时显示多个数据，“是”为单选，“否”为多选，如图：</w:t>
      </w:r>
    </w:p>
    <w:p>
      <w:pPr>
        <w:ind w:left="315"/>
      </w:pPr>
      <w:r>
        <w:rPr>
          <w:rFonts w:hint="eastAsia"/>
        </w:rPr>
        <w:t xml:space="preserve">   </w:t>
      </w:r>
      <w:r>
        <w:drawing>
          <wp:inline distT="0" distB="0" distL="114300" distR="114300">
            <wp:extent cx="5273675" cy="2560955"/>
            <wp:effectExtent l="0" t="0" r="317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6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15"/>
      </w:pPr>
    </w:p>
    <w:p>
      <w:pPr>
        <w:numPr>
          <w:ilvl w:val="0"/>
          <w:numId w:val="3"/>
        </w:numPr>
      </w:pPr>
      <w:r>
        <w:rPr>
          <w:rFonts w:hint="eastAsia"/>
        </w:rPr>
        <w:t>字段定义规则：所有字段均为必填项；填写格式为参照页面提示；如图：</w:t>
      </w:r>
    </w:p>
    <w:p>
      <w:pPr>
        <w:ind w:left="315"/>
      </w:pPr>
      <w:r>
        <w:rPr>
          <w:rFonts w:hint="eastAsia"/>
        </w:rPr>
        <w:t xml:space="preserve">   </w:t>
      </w:r>
      <w:r>
        <w:drawing>
          <wp:inline distT="0" distB="0" distL="114300" distR="114300">
            <wp:extent cx="3018790" cy="20288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15"/>
      </w:pPr>
      <w:r>
        <w:rPr>
          <w:rFonts w:hint="eastAsia"/>
        </w:rPr>
        <w:t xml:space="preserve">  </w:t>
      </w:r>
    </w:p>
    <w:p>
      <w:pPr>
        <w:ind w:left="315"/>
      </w:pPr>
      <w:r>
        <w:rPr>
          <w:rFonts w:hint="eastAsia"/>
        </w:rPr>
        <w:t xml:space="preserve">   名称#单位 : 前面为该字段显示的中文名称，“#”后面为该字段需要显示的单位，若不需要单位，“#”后面跟空格；</w:t>
      </w:r>
    </w:p>
    <w:p>
      <w:pPr>
        <w:ind w:left="315"/>
      </w:pPr>
      <w:r>
        <w:rPr>
          <w:rFonts w:hint="eastAsia"/>
        </w:rPr>
        <w:t xml:space="preserve">   名称 ： 该格式为 显示的标题项；</w:t>
      </w:r>
    </w:p>
    <w:p>
      <w:pPr>
        <w:ind w:left="315"/>
      </w:pPr>
    </w:p>
    <w:p>
      <w:pPr>
        <w:ind w:left="315"/>
      </w:pPr>
    </w:p>
    <w:p>
      <w:pPr>
        <w:ind w:left="315"/>
      </w:pPr>
    </w:p>
    <w:p>
      <w:pPr>
        <w:ind w:left="315"/>
      </w:pPr>
    </w:p>
    <w:p>
      <w:pPr>
        <w:numPr>
          <w:ilvl w:val="0"/>
          <w:numId w:val="1"/>
        </w:numPr>
      </w:pPr>
      <w:r>
        <w:rPr>
          <w:rFonts w:hint="eastAsia"/>
        </w:rPr>
        <w:t>页面编辑界面：</w:t>
      </w:r>
    </w:p>
    <w:p>
      <w:r>
        <w:rPr>
          <w:rFonts w:hint="eastAsia"/>
        </w:rPr>
        <w:t xml:space="preserve">    </w:t>
      </w:r>
      <w:r>
        <w:drawing>
          <wp:inline distT="0" distB="0" distL="114300" distR="114300">
            <wp:extent cx="5266055" cy="2548255"/>
            <wp:effectExtent l="0" t="0" r="1079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1、整体介绍：左侧为可用模块和操作按钮；“添加容器”可以在右侧添加一个容器；“显示头部”可以在右侧显示“</w:t>
      </w:r>
      <w:r>
        <w:drawing>
          <wp:inline distT="0" distB="0" distL="114300" distR="114300">
            <wp:extent cx="2423160" cy="190500"/>
            <wp:effectExtent l="0" t="0" r="152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”头部相关信息。</w:t>
      </w:r>
    </w:p>
    <w:p>
      <w:r>
        <w:rPr>
          <w:rFonts w:hint="eastAsia"/>
        </w:rPr>
        <w:t>2、注意事项：容器组件内部不可以再放入容器组件。</w:t>
      </w:r>
    </w:p>
    <w:p>
      <w:r>
        <w:rPr>
          <w:rFonts w:hint="eastAsia"/>
        </w:rPr>
        <w:t>3、容器组件功能介绍：</w:t>
      </w:r>
    </w:p>
    <w:p>
      <w:r>
        <w:drawing>
          <wp:inline distT="0" distB="0" distL="114300" distR="114300">
            <wp:extent cx="5262245" cy="3068955"/>
            <wp:effectExtent l="0" t="0" r="14605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rPr>
          <w:rFonts w:hint="eastAsia"/>
        </w:rPr>
        <w:t>容器组件头部包含三个按钮，分别是“拖动”、“删除”及“设置”功能；点击“设置”右侧会弹出如上图右侧表单；可以设置“宽度”、“是否显示边框”、“是否需要背景”也可以点击“收起”将弹出浮层掩藏起来；“宽度”总共分为12格，每一个占页面总宽度得十二分之一，如“4格”为页面总宽度得三分之一；</w:t>
      </w:r>
    </w:p>
    <w:p>
      <w:pPr>
        <w:ind w:left="315"/>
      </w:pPr>
    </w:p>
    <w:p>
      <w:pPr>
        <w:ind w:left="315"/>
      </w:pPr>
    </w:p>
    <w:p>
      <w:pPr>
        <w:ind w:left="315"/>
      </w:pPr>
    </w:p>
    <w:p>
      <w:pPr>
        <w:ind w:left="315"/>
      </w:pPr>
    </w:p>
    <w:p>
      <w:pPr>
        <w:ind w:left="315"/>
      </w:pPr>
    </w:p>
    <w:p>
      <w:pPr>
        <w:ind w:left="315"/>
      </w:pPr>
    </w:p>
    <w:p>
      <w:pPr>
        <w:ind w:left="315"/>
      </w:pPr>
    </w:p>
    <w:p>
      <w:pPr>
        <w:ind w:left="315"/>
      </w:pPr>
    </w:p>
    <w:p>
      <w:pPr>
        <w:ind w:left="315"/>
      </w:pPr>
    </w:p>
    <w:p>
      <w:r>
        <w:rPr>
          <w:rFonts w:hint="eastAsia"/>
        </w:rPr>
        <w:t>4、头部组件：</w:t>
      </w:r>
    </w:p>
    <w:p>
      <w:r>
        <w:rPr>
          <w:rFonts w:hint="eastAsia"/>
        </w:rPr>
        <w:t xml:space="preserve">  </w:t>
      </w:r>
      <w:r>
        <w:drawing>
          <wp:inline distT="0" distB="0" distL="114300" distR="114300">
            <wp:extent cx="5266690" cy="3129915"/>
            <wp:effectExtent l="0" t="0" r="1016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</w:pPr>
      <w:r>
        <w:rPr>
          <w:rFonts w:hint="eastAsia"/>
        </w:rPr>
        <w:t>头部组件头部分别是“删除”和“设置”；点击“设置”可以弹出右侧浮层，如下图：</w:t>
      </w:r>
      <w:r>
        <w:drawing>
          <wp:inline distT="0" distB="0" distL="114300" distR="114300">
            <wp:extent cx="1514475" cy="2214880"/>
            <wp:effectExtent l="0" t="0" r="952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1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</w:pPr>
      <w:r>
        <w:rPr>
          <w:rFonts w:hint="eastAsia"/>
        </w:rPr>
        <w:t>标题设置：设置该页面需要显示得标题信息；</w:t>
      </w:r>
    </w:p>
    <w:p>
      <w:pPr>
        <w:numPr>
          <w:ilvl w:val="0"/>
          <w:numId w:val="5"/>
        </w:numPr>
      </w:pPr>
      <w:r>
        <w:rPr>
          <w:rFonts w:hint="eastAsia"/>
        </w:rPr>
        <w:t>左右边距：填入数字即可；控制左右两侧距离容器边缘得距离，单位为“px”；</w:t>
      </w:r>
    </w:p>
    <w:p>
      <w:pPr>
        <w:numPr>
          <w:ilvl w:val="0"/>
          <w:numId w:val="5"/>
        </w:numPr>
      </w:pPr>
      <w:r>
        <w:rPr>
          <w:rFonts w:hint="eastAsia"/>
        </w:rPr>
        <w:t>上下边距：同上；</w:t>
      </w:r>
    </w:p>
    <w:p>
      <w:pPr>
        <w:numPr>
          <w:ilvl w:val="0"/>
          <w:numId w:val="5"/>
        </w:numPr>
      </w:pPr>
      <w:r>
        <w:rPr>
          <w:rFonts w:hint="eastAsia"/>
        </w:rPr>
        <w:t>右侧按钮：可以选择“导出”和“返回”两个按钮；</w:t>
      </w:r>
    </w:p>
    <w:p>
      <w:pPr>
        <w:numPr>
          <w:ilvl w:val="0"/>
          <w:numId w:val="5"/>
        </w:numPr>
      </w:pPr>
      <w:r>
        <w:rPr>
          <w:rFonts w:hint="eastAsia"/>
        </w:rPr>
        <w:t>副标题咱不可用；</w:t>
      </w:r>
    </w:p>
    <w:p/>
    <w:p/>
    <w:p/>
    <w:p/>
    <w:p/>
    <w:p/>
    <w:p/>
    <w:p>
      <w:pPr>
        <w:numPr>
          <w:ilvl w:val="0"/>
          <w:numId w:val="6"/>
        </w:numPr>
      </w:pPr>
      <w:r>
        <w:rPr>
          <w:rFonts w:hint="eastAsia"/>
        </w:rPr>
        <w:t>模块组件部分：</w:t>
      </w:r>
    </w:p>
    <w:p>
      <w:r>
        <w:rPr>
          <w:rFonts w:hint="eastAsia"/>
        </w:rPr>
        <w:t xml:space="preserve">  </w:t>
      </w:r>
      <w:r>
        <w:drawing>
          <wp:inline distT="0" distB="0" distL="114300" distR="114300">
            <wp:extent cx="5264150" cy="2699385"/>
            <wp:effectExtent l="0" t="0" r="1270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9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7"/>
        </w:numPr>
      </w:pPr>
      <w:r>
        <w:rPr>
          <w:rFonts w:hint="eastAsia"/>
        </w:rPr>
        <w:t>头部为“删除”和“设置”按钮；拖动组件可以直接拖动；点击“设置”按钮可以弹出右侧设置表单；</w:t>
      </w:r>
    </w:p>
    <w:p>
      <w:pPr>
        <w:numPr>
          <w:ilvl w:val="0"/>
          <w:numId w:val="7"/>
        </w:numPr>
      </w:pPr>
      <w:r>
        <w:rPr>
          <w:rFonts w:hint="eastAsia"/>
        </w:rPr>
        <w:t>标题：可以设置该模块在页面上显示得标题；不显示，删除模块名称即可；</w:t>
      </w:r>
    </w:p>
    <w:p>
      <w:r>
        <w:rPr>
          <w:rFonts w:hint="eastAsia"/>
        </w:rPr>
        <w:t>3）宽度：总共分为12格，每一个占页面总宽度得十二分之一，如“4格”为页面总宽度得三分之一；</w:t>
      </w:r>
    </w:p>
    <w:p>
      <w:r>
        <w:rPr>
          <w:rFonts w:hint="eastAsia"/>
        </w:rPr>
        <w:t>4）组件高度：填入数字即可；控制组件得高度，单位为“px”；</w:t>
      </w:r>
    </w:p>
    <w:p>
      <w:r>
        <w:rPr>
          <w:rFonts w:hint="eastAsia"/>
        </w:rPr>
        <w:t>5）内边距：为内容距离模块容器边界得距离，格式可以为：“10px”，</w:t>
      </w:r>
      <w:r>
        <w:t>“</w:t>
      </w:r>
      <w:r>
        <w:rPr>
          <w:rFonts w:hint="eastAsia"/>
        </w:rPr>
        <w:t>10px 10px</w:t>
      </w:r>
      <w:r>
        <w:t>”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10px 10px 10px</w:t>
      </w:r>
      <w:r>
        <w:t>”</w:t>
      </w:r>
      <w:r>
        <w:rPr>
          <w:rFonts w:hint="eastAsia"/>
        </w:rPr>
        <w:t xml:space="preserve"> ，</w:t>
      </w:r>
      <w:r>
        <w:t>“</w:t>
      </w:r>
      <w:r>
        <w:rPr>
          <w:rFonts w:hint="eastAsia"/>
        </w:rPr>
        <w:t>10px 10px 10px 10px</w:t>
      </w:r>
      <w:r>
        <w:t>”</w:t>
      </w:r>
      <w:r>
        <w:rPr>
          <w:rFonts w:hint="eastAsia"/>
        </w:rPr>
        <w:t>；</w:t>
      </w:r>
    </w:p>
    <w:p>
      <w:r>
        <w:rPr>
          <w:rFonts w:hint="eastAsia"/>
        </w:rPr>
        <w:t>6）页面跳转：选择该模块下转或者跳转得相关页面，只能单选；</w:t>
      </w:r>
    </w:p>
    <w:p>
      <w:r>
        <w:rPr>
          <w:rFonts w:hint="eastAsia"/>
        </w:rPr>
        <w:t>7）数据标题及展示数据如图所示：</w:t>
      </w:r>
    </w:p>
    <w:p>
      <w:r>
        <w:rPr>
          <w:rFonts w:hint="eastAsia"/>
        </w:rPr>
        <w:t xml:space="preserve">  </w:t>
      </w:r>
    </w:p>
    <w:p>
      <w:r>
        <w:drawing>
          <wp:inline distT="0" distB="0" distL="114300" distR="114300">
            <wp:extent cx="5266690" cy="3114675"/>
            <wp:effectExtent l="0" t="0" r="1016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三全局搜索配置</w:t>
      </w:r>
    </w:p>
    <w:p>
      <w:r>
        <w:rPr>
          <w:rFonts w:hint="eastAsia"/>
        </w:rPr>
        <w:t>1</w:t>
      </w:r>
      <w:r>
        <w:drawing>
          <wp:inline distT="0" distB="0" distL="0" distR="0">
            <wp:extent cx="5274310" cy="2821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2391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四:权限管理</w:t>
      </w:r>
    </w:p>
    <w:p>
      <w:pPr>
        <w:pStyle w:val="9"/>
        <w:numPr>
          <w:ilvl w:val="0"/>
          <w:numId w:val="8"/>
        </w:numPr>
        <w:ind w:firstLineChars="0"/>
      </w:pPr>
      <w:r>
        <w:rPr>
          <w:rFonts w:hint="eastAsia"/>
        </w:rPr>
        <w:t>用户管理:新增用户过后给该用户挂角色(每个角色有权限)</w:t>
      </w:r>
    </w:p>
    <w:p>
      <w:pPr>
        <w:pStyle w:val="9"/>
        <w:numPr>
          <w:ilvl w:val="0"/>
          <w:numId w:val="8"/>
        </w:numPr>
        <w:ind w:firstLineChars="0"/>
      </w:pPr>
      <w:r>
        <w:rPr>
          <w:rFonts w:hint="eastAsia"/>
        </w:rPr>
        <w:t>角色管理:负责给每个角色分配权限(供用户挂角色获取权限):备注:菜单既权限</w:t>
      </w:r>
    </w:p>
    <w:p>
      <w:pPr>
        <w:pStyle w:val="9"/>
        <w:numPr>
          <w:ilvl w:val="0"/>
          <w:numId w:val="8"/>
        </w:numPr>
        <w:ind w:firstLineChars="0"/>
      </w:pPr>
      <w:r>
        <w:rPr>
          <w:rFonts w:hint="eastAsia"/>
        </w:rPr>
        <w:t>菜单管理:因无单独的用户菜单管理,所有这里和我后端权限管理一起的</w:t>
      </w:r>
      <w:bookmarkStart w:id="0" w:name="_GoBack"/>
      <w:bookmarkEnd w:id="0"/>
    </w:p>
    <w:p>
      <w:pPr>
        <w:pStyle w:val="9"/>
        <w:numPr>
          <w:ilvl w:val="0"/>
          <w:numId w:val="8"/>
        </w:numPr>
        <w:ind w:firstLineChars="0"/>
      </w:pPr>
      <w:r>
        <w:drawing>
          <wp:inline distT="0" distB="0" distL="0" distR="0">
            <wp:extent cx="5274310" cy="37242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8"/>
        </w:numPr>
        <w:ind w:firstLineChars="0"/>
      </w:pPr>
      <w:r>
        <w:drawing>
          <wp:inline distT="0" distB="0" distL="0" distR="0">
            <wp:extent cx="5274310" cy="38646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3326130</wp:posOffset>
                </wp:positionV>
                <wp:extent cx="104775" cy="771525"/>
                <wp:effectExtent l="38100" t="38100" r="66675" b="476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4.75pt;margin-top:261.9pt;height:60.75pt;width:8.25pt;z-index:251660288;mso-width-relative:page;mso-height-relative:page;" filled="f" stroked="t" coordsize="21600,21600" o:gfxdata="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XnCEZ3AAAAAsBAAAPAAAAAAAAAAEAIAAAACIAAABkcnMvZG93bnJl&#10;di54bWxQSwECFAAUAAAACACHTuJApAy2HPkBAAC2AwAADgAAAAAAAAABACAAAAArAQAAZHJzL2Uy&#10;b0RvYy54bWxQSwUGAAAAAAYABgBZAQAAlgUAAAAA&#10;">
                <v:fill on="f" focussize="0,0"/>
                <v:stroke weight="1.5pt" color="#FF0000 [3205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2164080</wp:posOffset>
                </wp:positionV>
                <wp:extent cx="619125" cy="1905000"/>
                <wp:effectExtent l="38100" t="0" r="257175" b="95250"/>
                <wp:wrapNone/>
                <wp:docPr id="20" name="曲线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1905000"/>
                        </a:xfrm>
                        <a:prstGeom prst="curvedConnector3">
                          <a:avLst>
                            <a:gd name="adj1" fmla="val -3615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;margin-left:309pt;margin-top:170.4pt;height:150pt;width:48.75pt;z-index:251659264;mso-width-relative:page;mso-height-relative:page;" filled="f" stroked="t" coordsize="21600,21600" o:gfxdata="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mfx//ZAAAACwEAAA8AAAAAAAAAAQAgAAAA&#10;IgAAAGRycy9kb3ducmV2LnhtbFBLAQIUABQAAAAIAIdO4kD0FLkYCgIAAMsDAAAOAAAAAAAAAAEA&#10;IAAAACgBAABkcnMvZTJvRG9jLnhtbFBLBQYAAAAABgAGAFkBAACkBQAAAAA=&#10;" adj="-7809">
                <v:fill on="f" focussize="0,0"/>
                <v:stroke weight="1.5pt" color="#FF0000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274310" cy="55118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8"/>
        </w:numPr>
        <w:ind w:firstLineChars="0"/>
      </w:pPr>
      <w:r>
        <w:rPr>
          <w:rFonts w:hint="eastAsia"/>
        </w:rPr>
        <w:t>业务系统维护:略</w:t>
      </w:r>
    </w:p>
    <w:p>
      <w:pPr>
        <w:pStyle w:val="9"/>
        <w:numPr>
          <w:ilvl w:val="0"/>
          <w:numId w:val="8"/>
        </w:numPr>
        <w:ind w:firstLineChars="0"/>
      </w:pPr>
      <w:r>
        <w:drawing>
          <wp:inline distT="0" distB="0" distL="0" distR="0">
            <wp:extent cx="5274310" cy="220408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8"/>
        </w:numPr>
        <w:ind w:firstLineChars="0"/>
        <w:rPr>
          <w:rFonts w:hint="eastAsia"/>
        </w:rPr>
      </w:pPr>
      <w:r>
        <w:drawing>
          <wp:inline distT="0" distB="0" distL="0" distR="0">
            <wp:extent cx="5274310" cy="427291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C81E57"/>
    <w:multiLevelType w:val="singleLevel"/>
    <w:tmpl w:val="B3C81E5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5456A72"/>
    <w:multiLevelType w:val="singleLevel"/>
    <w:tmpl w:val="E5456A7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E3B5BD7"/>
    <w:multiLevelType w:val="singleLevel"/>
    <w:tmpl w:val="0E3B5BD7"/>
    <w:lvl w:ilvl="0" w:tentative="0">
      <w:start w:val="5"/>
      <w:numFmt w:val="decimal"/>
      <w:suff w:val="nothing"/>
      <w:lvlText w:val="%1、"/>
      <w:lvlJc w:val="left"/>
    </w:lvl>
  </w:abstractNum>
  <w:abstractNum w:abstractNumId="3">
    <w:nsid w:val="3C8D274E"/>
    <w:multiLevelType w:val="singleLevel"/>
    <w:tmpl w:val="3C8D274E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43A5509C"/>
    <w:multiLevelType w:val="singleLevel"/>
    <w:tmpl w:val="43A5509C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4ADF7F6B"/>
    <w:multiLevelType w:val="multilevel"/>
    <w:tmpl w:val="4ADF7F6B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555395A5"/>
    <w:multiLevelType w:val="singleLevel"/>
    <w:tmpl w:val="555395A5"/>
    <w:lvl w:ilvl="0" w:tentative="0">
      <w:start w:val="1"/>
      <w:numFmt w:val="decimal"/>
      <w:suff w:val="nothing"/>
      <w:lvlText w:val="%1）"/>
      <w:lvlJc w:val="left"/>
      <w:pPr>
        <w:ind w:left="315" w:firstLine="0"/>
      </w:pPr>
    </w:lvl>
  </w:abstractNum>
  <w:abstractNum w:abstractNumId="7">
    <w:nsid w:val="78073E82"/>
    <w:multiLevelType w:val="singleLevel"/>
    <w:tmpl w:val="78073E82"/>
    <w:lvl w:ilvl="0" w:tentative="0">
      <w:start w:val="1"/>
      <w:numFmt w:val="decimal"/>
      <w:suff w:val="nothing"/>
      <w:lvlText w:val="%1）"/>
      <w:lvlJc w:val="left"/>
      <w:pPr>
        <w:ind w:left="315" w:firstLine="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F30"/>
    <w:rsid w:val="0001459B"/>
    <w:rsid w:val="001007F0"/>
    <w:rsid w:val="00232828"/>
    <w:rsid w:val="0032479F"/>
    <w:rsid w:val="00406554"/>
    <w:rsid w:val="00454F30"/>
    <w:rsid w:val="0047536D"/>
    <w:rsid w:val="00504546"/>
    <w:rsid w:val="00574398"/>
    <w:rsid w:val="0064417A"/>
    <w:rsid w:val="00721887"/>
    <w:rsid w:val="007B437D"/>
    <w:rsid w:val="00817FEB"/>
    <w:rsid w:val="008A60E4"/>
    <w:rsid w:val="0099008B"/>
    <w:rsid w:val="009A1134"/>
    <w:rsid w:val="00B80C0A"/>
    <w:rsid w:val="00EE57D9"/>
    <w:rsid w:val="44246FE6"/>
    <w:rsid w:val="58E7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1"/>
    <w:uiPriority w:val="0"/>
    <w:rPr>
      <w:b/>
      <w:bCs/>
    </w:rPr>
  </w:style>
  <w:style w:type="paragraph" w:styleId="4">
    <w:name w:val="annotation text"/>
    <w:basedOn w:val="1"/>
    <w:link w:val="10"/>
    <w:uiPriority w:val="0"/>
    <w:pPr>
      <w:jc w:val="left"/>
    </w:pPr>
  </w:style>
  <w:style w:type="paragraph" w:styleId="5">
    <w:name w:val="Balloon Text"/>
    <w:basedOn w:val="1"/>
    <w:link w:val="12"/>
    <w:qFormat/>
    <w:uiPriority w:val="0"/>
    <w:rPr>
      <w:sz w:val="18"/>
      <w:szCs w:val="18"/>
    </w:rPr>
  </w:style>
  <w:style w:type="character" w:styleId="7">
    <w:name w:val="annotation reference"/>
    <w:basedOn w:val="6"/>
    <w:uiPriority w:val="0"/>
    <w:rPr>
      <w:sz w:val="21"/>
      <w:szCs w:val="21"/>
    </w:rPr>
  </w:style>
  <w:style w:type="paragraph" w:styleId="9">
    <w:name w:val="List Paragraph"/>
    <w:basedOn w:val="1"/>
    <w:uiPriority w:val="99"/>
    <w:pPr>
      <w:ind w:firstLine="420" w:firstLineChars="200"/>
    </w:pPr>
  </w:style>
  <w:style w:type="character" w:customStyle="1" w:styleId="10">
    <w:name w:val="批注文字 字符"/>
    <w:basedOn w:val="6"/>
    <w:link w:val="4"/>
    <w:uiPriority w:val="0"/>
    <w:rPr>
      <w:kern w:val="2"/>
      <w:sz w:val="21"/>
      <w:szCs w:val="24"/>
    </w:rPr>
  </w:style>
  <w:style w:type="character" w:customStyle="1" w:styleId="11">
    <w:name w:val="批注主题 字符"/>
    <w:basedOn w:val="10"/>
    <w:link w:val="3"/>
    <w:qFormat/>
    <w:uiPriority w:val="0"/>
    <w:rPr>
      <w:b/>
      <w:bCs/>
      <w:kern w:val="2"/>
      <w:sz w:val="21"/>
      <w:szCs w:val="24"/>
    </w:rPr>
  </w:style>
  <w:style w:type="character" w:customStyle="1" w:styleId="12">
    <w:name w:val="批注框文本 字符"/>
    <w:basedOn w:val="6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65B08E-E545-461D-9F00-D165D5E552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181</Words>
  <Characters>1033</Characters>
  <Lines>8</Lines>
  <Paragraphs>2</Paragraphs>
  <TotalTime>8</TotalTime>
  <ScaleCrop>false</ScaleCrop>
  <LinksUpToDate>false</LinksUpToDate>
  <CharactersWithSpaces>1212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2020-12-31T03:02:08Z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