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8091D" w14:textId="77777777" w:rsidR="004F0204" w:rsidRPr="004F0204" w:rsidRDefault="004F0204" w:rsidP="004F0204">
      <w:pPr>
        <w:spacing w:after="0" w:line="240" w:lineRule="auto"/>
        <w:outlineLvl w:val="0"/>
        <w:rPr>
          <w:rFonts w:ascii="Times New Roman" w:eastAsia="Times New Roman" w:hAnsi="Times New Roman" w:cs="Times New Roman"/>
          <w:b/>
          <w:bCs/>
          <w:kern w:val="36"/>
          <w:sz w:val="48"/>
          <w:szCs w:val="48"/>
          <w:lang w:eastAsia="pt-BR"/>
        </w:rPr>
      </w:pPr>
      <w:r w:rsidRPr="004F0204">
        <w:rPr>
          <w:rFonts w:ascii="Times New Roman" w:eastAsia="Times New Roman" w:hAnsi="Times New Roman" w:cs="Times New Roman"/>
          <w:b/>
          <w:bCs/>
          <w:kern w:val="36"/>
          <w:sz w:val="48"/>
          <w:szCs w:val="48"/>
          <w:lang w:eastAsia="pt-BR"/>
        </w:rPr>
        <w:t>Explorar termos e requisitos de conformidade</w:t>
      </w:r>
    </w:p>
    <w:p w14:paraId="594901AF" w14:textId="77777777" w:rsidR="004F0204" w:rsidRDefault="004F0204" w:rsidP="004F0204">
      <w:pPr>
        <w:pStyle w:val="NormalWeb"/>
        <w:shd w:val="clear" w:color="auto" w:fill="FFFFFF"/>
        <w:rPr>
          <w:rFonts w:ascii="Segoe UI" w:hAnsi="Segoe UI" w:cs="Segoe UI"/>
          <w:color w:val="171717"/>
        </w:rPr>
      </w:pPr>
      <w:r w:rsidRPr="004F0204">
        <w:rPr>
          <w:rFonts w:ascii="docons" w:hAnsi="docons"/>
          <w:sz w:val="14"/>
          <w:szCs w:val="14"/>
        </w:rPr>
        <w:br/>
      </w:r>
      <w:r>
        <w:rPr>
          <w:rFonts w:ascii="Segoe UI" w:hAnsi="Segoe UI" w:cs="Segoe UI"/>
          <w:color w:val="171717"/>
        </w:rPr>
        <w:t>Nesta unidade, você aprenderá sobre os tipos de ofertas de conformidade disponíveis no Azure.</w:t>
      </w:r>
    </w:p>
    <w:p w14:paraId="60D26C37"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Conforme passa a executar seus aplicativos na nuvem, a Tailwind Traders quer saber como o Azure segue as estruturas de conformidade regulatória aplicáveis. A empresa pergunta:</w:t>
      </w:r>
    </w:p>
    <w:p w14:paraId="038E6B6D" w14:textId="77777777" w:rsidR="004F0204" w:rsidRDefault="004F0204" w:rsidP="004F0204">
      <w:pPr>
        <w:numPr>
          <w:ilvl w:val="0"/>
          <w:numId w:val="1"/>
        </w:numPr>
        <w:shd w:val="clear" w:color="auto" w:fill="FFFFFF"/>
        <w:spacing w:after="0" w:line="240" w:lineRule="auto"/>
        <w:ind w:left="1290"/>
        <w:rPr>
          <w:rFonts w:ascii="Segoe UI" w:hAnsi="Segoe UI" w:cs="Segoe UI"/>
          <w:color w:val="171717"/>
        </w:rPr>
      </w:pPr>
      <w:r>
        <w:rPr>
          <w:rFonts w:ascii="Segoe UI" w:hAnsi="Segoe UI" w:cs="Segoe UI"/>
          <w:color w:val="171717"/>
        </w:rPr>
        <w:t>O quanto o Azure mantém a conformidade com relação à manipulação de dados pessoais?</w:t>
      </w:r>
    </w:p>
    <w:p w14:paraId="09BBE83A" w14:textId="77777777" w:rsidR="004F0204" w:rsidRDefault="004F0204" w:rsidP="004F0204">
      <w:pPr>
        <w:numPr>
          <w:ilvl w:val="0"/>
          <w:numId w:val="1"/>
        </w:numPr>
        <w:shd w:val="clear" w:color="auto" w:fill="FFFFFF"/>
        <w:spacing w:after="0" w:line="240" w:lineRule="auto"/>
        <w:ind w:left="1290"/>
        <w:rPr>
          <w:rFonts w:ascii="Segoe UI" w:hAnsi="Segoe UI" w:cs="Segoe UI"/>
          <w:color w:val="171717"/>
        </w:rPr>
      </w:pPr>
      <w:r>
        <w:rPr>
          <w:rFonts w:ascii="Segoe UI" w:hAnsi="Segoe UI" w:cs="Segoe UI"/>
          <w:color w:val="171717"/>
        </w:rPr>
        <w:t>O quanto cada um dos serviços individuais do Azure se mantém em conformidade?</w:t>
      </w:r>
    </w:p>
    <w:p w14:paraId="08C8B252"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Os serviços online da Microsoft são baseados em um conjunto comum de controles regulatórios e de conformidade. Considere um </w:t>
      </w:r>
      <w:r>
        <w:rPr>
          <w:rStyle w:val="nfase"/>
          <w:rFonts w:ascii="Segoe UI" w:eastAsiaTheme="majorEastAsia" w:hAnsi="Segoe UI" w:cs="Segoe UI"/>
          <w:color w:val="171717"/>
        </w:rPr>
        <w:t>controle</w:t>
      </w:r>
      <w:r>
        <w:rPr>
          <w:rFonts w:ascii="Segoe UI" w:hAnsi="Segoe UI" w:cs="Segoe UI"/>
          <w:color w:val="171717"/>
        </w:rPr>
        <w:t> como um bom padrão conhecido com o qual você pode comparar sua solução para garantir a segurança. Esses controles tratam das regulamentações atuais e se adaptam conforme as regulamentações evoluem.</w:t>
      </w:r>
    </w:p>
    <w:p w14:paraId="166D9E93" w14:textId="77777777" w:rsidR="004F0204" w:rsidRDefault="004F0204" w:rsidP="004F0204">
      <w:pPr>
        <w:pStyle w:val="Ttulo2"/>
        <w:shd w:val="clear" w:color="auto" w:fill="FFFFFF"/>
        <w:spacing w:before="480" w:after="180"/>
        <w:rPr>
          <w:rFonts w:ascii="Segoe UI" w:hAnsi="Segoe UI" w:cs="Segoe UI"/>
          <w:color w:val="171717"/>
        </w:rPr>
      </w:pPr>
      <w:r>
        <w:rPr>
          <w:rFonts w:ascii="Segoe UI" w:hAnsi="Segoe UI" w:cs="Segoe UI"/>
          <w:color w:val="171717"/>
        </w:rPr>
        <w:t>Quais categorias de conformidade estão disponíveis no Azure?</w:t>
      </w:r>
    </w:p>
    <w:p w14:paraId="06693C61"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Embora haja muitas outras, a imagem a seguir mostra algumas das ofertas de conformidade mais populares disponíveis no Azure. Essas ofertas são agrupadas em quatro categorias: Global, Governo dos EUA, Setor e Regional.</w:t>
      </w:r>
    </w:p>
    <w:p w14:paraId="0E3E19F3" w14:textId="6604AFE3" w:rsidR="004F0204" w:rsidRDefault="004F0204" w:rsidP="004F0204">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527E7B32" wp14:editId="7529F764">
            <wp:extent cx="5400040" cy="2605405"/>
            <wp:effectExtent l="0" t="0" r="0" b="4445"/>
            <wp:docPr id="1" name="Imagem 1" descr="A screenshot of some of the Azure compliance offerings grouped under categories of Global, US Government, Industry, and Reg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some of the Azure compliance offerings grouped under categories of Global, US Government, Industry, and Region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605405"/>
                    </a:xfrm>
                    <a:prstGeom prst="rect">
                      <a:avLst/>
                    </a:prstGeom>
                    <a:noFill/>
                    <a:ln>
                      <a:noFill/>
                    </a:ln>
                  </pic:spPr>
                </pic:pic>
              </a:graphicData>
            </a:graphic>
          </wp:inline>
        </w:drawing>
      </w:r>
    </w:p>
    <w:p w14:paraId="7F764867"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lastRenderedPageBreak/>
        <w:t>Para ter uma ideia da variedade de ofertas de conformidade disponíveis no Azure, vamos examinar algumas delas com mais detalhes.</w:t>
      </w:r>
    </w:p>
    <w:p w14:paraId="77C4A268"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Embora nem todas essas ofertas de conformidade sejam relevantes para você ou para sua equipe, elas mostram que o compromisso da Microsoft com a conformidade é amplo, contínuo e testado e comprovado de maneira independente.</w:t>
      </w:r>
    </w:p>
    <w:p w14:paraId="4D976DE3" w14:textId="77777777" w:rsidR="004F0204" w:rsidRDefault="004F0204" w:rsidP="004F0204">
      <w:pPr>
        <w:pStyle w:val="Ttulo3"/>
        <w:shd w:val="clear" w:color="auto" w:fill="FFFFFF"/>
        <w:spacing w:before="450" w:after="270"/>
        <w:rPr>
          <w:rFonts w:ascii="Segoe UI" w:hAnsi="Segoe UI" w:cs="Segoe UI"/>
          <w:color w:val="171717"/>
        </w:rPr>
      </w:pPr>
      <w:r>
        <w:rPr>
          <w:rFonts w:ascii="Segoe UI" w:hAnsi="Segoe UI" w:cs="Segoe UI"/>
          <w:color w:val="171717"/>
        </w:rPr>
        <w:t>Serviço de Informações de Justiça Criminal</w:t>
      </w:r>
    </w:p>
    <w:p w14:paraId="455F6BEA"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Qualquer agência estadual ou local dos EUA que deseja acessar o banco de dados dos CJIS (Serviços de Informações de Justiça Criminal) do FBI precisa aderir à Política de Segurança dos CJIS.</w:t>
      </w:r>
    </w:p>
    <w:p w14:paraId="78BBD0AA"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Entre os principais provedores de nuvem, o Azure é o único que se compromete contratualmente com a conformidade com a política de segurança do CJIS. A Microsoft segue os mesmos requisitos que as entidades de justiça e de segurança pública devem atender.</w:t>
      </w:r>
    </w:p>
    <w:p w14:paraId="5840EFBC" w14:textId="77777777" w:rsidR="004F0204" w:rsidRDefault="004F0204" w:rsidP="004F0204">
      <w:pPr>
        <w:pStyle w:val="Ttulo3"/>
        <w:shd w:val="clear" w:color="auto" w:fill="FFFFFF"/>
        <w:spacing w:before="450" w:after="270"/>
        <w:rPr>
          <w:rFonts w:ascii="Segoe UI" w:hAnsi="Segoe UI" w:cs="Segoe UI"/>
          <w:color w:val="171717"/>
        </w:rPr>
      </w:pPr>
      <w:r>
        <w:rPr>
          <w:rFonts w:ascii="Segoe UI" w:hAnsi="Segoe UI" w:cs="Segoe UI"/>
          <w:color w:val="171717"/>
        </w:rPr>
        <w:t>Certificação STAR da Cloud Security Alliance</w:t>
      </w:r>
    </w:p>
    <w:p w14:paraId="4E39E161"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O Azure, o Intune e o Microsoft Power BI obtiveram a certificação STAR da CSA (Cloud Security Alliance), que envolve uma avaliação rigorosa de terceiros independentes da postura de segurança de um provedor de nuvem.</w:t>
      </w:r>
    </w:p>
    <w:p w14:paraId="1D88172A"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A Certificação STAR baseia-se na obtenção da certificação ISO/IEC (Organização Internacional de Normalização/Comissão Eletrotécnina Internacional) 27001 e na adesão aos critérios especificados na CCM (Matriz de Controles de Nuvem). Essa certificação demonstra que um provedor de serviços de nuvem:</w:t>
      </w:r>
    </w:p>
    <w:p w14:paraId="08ED6055" w14:textId="77777777" w:rsidR="004F0204" w:rsidRDefault="004F0204" w:rsidP="004F0204">
      <w:pPr>
        <w:numPr>
          <w:ilvl w:val="0"/>
          <w:numId w:val="2"/>
        </w:numPr>
        <w:shd w:val="clear" w:color="auto" w:fill="FFFFFF"/>
        <w:spacing w:after="0" w:line="240" w:lineRule="auto"/>
        <w:ind w:left="1290"/>
        <w:rPr>
          <w:rFonts w:ascii="Segoe UI" w:hAnsi="Segoe UI" w:cs="Segoe UI"/>
          <w:color w:val="171717"/>
        </w:rPr>
      </w:pPr>
      <w:r>
        <w:rPr>
          <w:rFonts w:ascii="Segoe UI" w:hAnsi="Segoe UI" w:cs="Segoe UI"/>
          <w:color w:val="171717"/>
        </w:rPr>
        <w:t>Está em conformidade com os requisitos aplicáveis do ISO/IEC 27001.</w:t>
      </w:r>
    </w:p>
    <w:p w14:paraId="15954797" w14:textId="77777777" w:rsidR="004F0204" w:rsidRDefault="004F0204" w:rsidP="004F0204">
      <w:pPr>
        <w:numPr>
          <w:ilvl w:val="0"/>
          <w:numId w:val="2"/>
        </w:numPr>
        <w:shd w:val="clear" w:color="auto" w:fill="FFFFFF"/>
        <w:spacing w:after="0" w:line="240" w:lineRule="auto"/>
        <w:ind w:left="1290"/>
        <w:rPr>
          <w:rFonts w:ascii="Segoe UI" w:hAnsi="Segoe UI" w:cs="Segoe UI"/>
          <w:color w:val="171717"/>
        </w:rPr>
      </w:pPr>
      <w:r>
        <w:rPr>
          <w:rFonts w:ascii="Segoe UI" w:hAnsi="Segoe UI" w:cs="Segoe UI"/>
          <w:color w:val="171717"/>
        </w:rPr>
        <w:t>Tratou de problemas críticos para a segurança da nuvem, conforme descrito na CCM.</w:t>
      </w:r>
    </w:p>
    <w:p w14:paraId="1AE833DD" w14:textId="77777777" w:rsidR="004F0204" w:rsidRDefault="004F0204" w:rsidP="004F0204">
      <w:pPr>
        <w:numPr>
          <w:ilvl w:val="0"/>
          <w:numId w:val="2"/>
        </w:numPr>
        <w:shd w:val="clear" w:color="auto" w:fill="FFFFFF"/>
        <w:spacing w:after="0" w:line="240" w:lineRule="auto"/>
        <w:ind w:left="1290"/>
        <w:rPr>
          <w:rFonts w:ascii="Segoe UI" w:hAnsi="Segoe UI" w:cs="Segoe UI"/>
          <w:color w:val="171717"/>
        </w:rPr>
      </w:pPr>
      <w:r>
        <w:rPr>
          <w:rFonts w:ascii="Segoe UI" w:hAnsi="Segoe UI" w:cs="Segoe UI"/>
          <w:color w:val="171717"/>
        </w:rPr>
        <w:t>Foi avaliado em relação ao Modelo de Maturidade de Capacidade STAR para o gerenciamento de atividades em áreas de controle da CCM.</w:t>
      </w:r>
    </w:p>
    <w:p w14:paraId="591A6E1D" w14:textId="77777777" w:rsidR="004F0204" w:rsidRDefault="004F0204" w:rsidP="004F0204">
      <w:pPr>
        <w:pStyle w:val="Ttulo3"/>
        <w:shd w:val="clear" w:color="auto" w:fill="FFFFFF"/>
        <w:spacing w:before="450" w:after="270"/>
        <w:rPr>
          <w:rFonts w:ascii="Segoe UI" w:hAnsi="Segoe UI" w:cs="Segoe UI"/>
          <w:color w:val="171717"/>
        </w:rPr>
      </w:pPr>
      <w:r>
        <w:rPr>
          <w:rFonts w:ascii="Segoe UI" w:hAnsi="Segoe UI" w:cs="Segoe UI"/>
          <w:color w:val="171717"/>
        </w:rPr>
        <w:t>Cláusulas Modelo da União Europeia</w:t>
      </w:r>
    </w:p>
    <w:p w14:paraId="65FF3DA7"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A Microsoft oferece aos clientes as Cláusulas Contratuais Padrão da UE (União Europeia), que fornecem garantias contratuais com relação às transferências de dados pessoais fora da UE.</w:t>
      </w:r>
    </w:p>
    <w:p w14:paraId="0BED17D2"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lastRenderedPageBreak/>
        <w:t>A Microsoft é a primeira empresa a receber aprovação conjunta do Grupo de Trabalho do Artigo 29º da UE para que as proteções de privacidade contratuais do Azure oferecidas aos seus clientes de nuvem empresarial atendam aos padrões atuais da UE para transferências internacionais de dados. Atender a esse padrão garante que os clientes do Azure possam usar os serviços da Microsoft para mover dados livremente pela da nuvem da Microsoft da Europa para o resto do mundo.</w:t>
      </w:r>
    </w:p>
    <w:p w14:paraId="21B79933" w14:textId="77777777" w:rsidR="004F0204" w:rsidRDefault="004F0204" w:rsidP="004F0204">
      <w:pPr>
        <w:pStyle w:val="Ttulo3"/>
        <w:shd w:val="clear" w:color="auto" w:fill="FFFFFF"/>
        <w:spacing w:before="450" w:after="270"/>
        <w:rPr>
          <w:rFonts w:ascii="Segoe UI" w:hAnsi="Segoe UI" w:cs="Segoe UI"/>
          <w:color w:val="171717"/>
        </w:rPr>
      </w:pPr>
      <w:r>
        <w:rPr>
          <w:rFonts w:ascii="Segoe UI" w:hAnsi="Segoe UI" w:cs="Segoe UI"/>
          <w:color w:val="171717"/>
        </w:rPr>
        <w:t>Lei Health Insurance Portability and Accountability dos EUA</w:t>
      </w:r>
    </w:p>
    <w:p w14:paraId="1B7CFF10"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A lei HIPAA (Health Insurance Portability e Accountability) é uma lei federal dos EUA que regula as PHI (informações de saúde protegidas) dos pacientes.</w:t>
      </w:r>
    </w:p>
    <w:p w14:paraId="2551D1DF"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O Azure oferece aos clientes um BAA (contrato de associado corporativo)do HIPAA, que estipula a adesão a determinadas provisões de privacidade e segurança da HIPAA e da lei HITECH. Para ajudar os clientes em seus esforços de conformidade individuais, a Microsoft oferece um contrato de associado empresarial aos clientes do Azure como um adendo do contrato.</w:t>
      </w:r>
    </w:p>
    <w:p w14:paraId="4EED0F4F" w14:textId="77777777" w:rsidR="004F0204" w:rsidRDefault="004F0204" w:rsidP="004F0204">
      <w:pPr>
        <w:pStyle w:val="Ttulo3"/>
        <w:shd w:val="clear" w:color="auto" w:fill="FFFFFF"/>
        <w:spacing w:before="450" w:after="270"/>
        <w:rPr>
          <w:rFonts w:ascii="Segoe UI" w:hAnsi="Segoe UI" w:cs="Segoe UI"/>
          <w:color w:val="171717"/>
        </w:rPr>
      </w:pPr>
      <w:r>
        <w:rPr>
          <w:rFonts w:ascii="Segoe UI" w:hAnsi="Segoe UI" w:cs="Segoe UI"/>
          <w:color w:val="171717"/>
        </w:rPr>
        <w:t>Organização Internacional de Normalização/Comissão Eletrotécnina Internacional 27018</w:t>
      </w:r>
    </w:p>
    <w:p w14:paraId="7771257C"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A Microsoft é o primeiro provedor de nuvem a adotar o código de conduta ISO/IEC 27018, que abrange o processamento de informações pessoais por provedores de serviço de nuvem.</w:t>
      </w:r>
    </w:p>
    <w:p w14:paraId="4AB7F371" w14:textId="77777777" w:rsidR="004F0204" w:rsidRDefault="004F0204" w:rsidP="004F0204">
      <w:pPr>
        <w:pStyle w:val="Ttulo3"/>
        <w:shd w:val="clear" w:color="auto" w:fill="FFFFFF"/>
        <w:spacing w:before="450" w:after="270"/>
        <w:rPr>
          <w:rFonts w:ascii="Segoe UI" w:hAnsi="Segoe UI" w:cs="Segoe UI"/>
          <w:color w:val="171717"/>
        </w:rPr>
      </w:pPr>
      <w:r>
        <w:rPr>
          <w:rFonts w:ascii="Segoe UI" w:hAnsi="Segoe UI" w:cs="Segoe UI"/>
          <w:color w:val="171717"/>
        </w:rPr>
        <w:t>Multi-Tier Cloud Security – Singapura</w:t>
      </w:r>
    </w:p>
    <w:p w14:paraId="0E031763"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Após rigorosas avaliações realizadas pelo órgão de certificação de MTCS (Multi-Tier Cloud Security), os serviços em nuvem da Microsoft receberam a certificação MTCS 584:2013 em todas as três classificações de serviço:</w:t>
      </w:r>
    </w:p>
    <w:p w14:paraId="27A4E292" w14:textId="77777777" w:rsidR="004F0204" w:rsidRDefault="004F0204" w:rsidP="004F0204">
      <w:pPr>
        <w:numPr>
          <w:ilvl w:val="0"/>
          <w:numId w:val="3"/>
        </w:numPr>
        <w:shd w:val="clear" w:color="auto" w:fill="FFFFFF"/>
        <w:spacing w:after="0" w:line="240" w:lineRule="auto"/>
        <w:ind w:left="1290"/>
        <w:rPr>
          <w:rFonts w:ascii="Segoe UI" w:hAnsi="Segoe UI" w:cs="Segoe UI"/>
          <w:color w:val="171717"/>
        </w:rPr>
      </w:pPr>
      <w:r>
        <w:rPr>
          <w:rFonts w:ascii="Segoe UI" w:hAnsi="Segoe UI" w:cs="Segoe UI"/>
          <w:color w:val="171717"/>
        </w:rPr>
        <w:t>IaaS (infraestrutura como serviço)</w:t>
      </w:r>
    </w:p>
    <w:p w14:paraId="7B94B7F4" w14:textId="77777777" w:rsidR="004F0204" w:rsidRDefault="004F0204" w:rsidP="004F0204">
      <w:pPr>
        <w:numPr>
          <w:ilvl w:val="0"/>
          <w:numId w:val="3"/>
        </w:numPr>
        <w:shd w:val="clear" w:color="auto" w:fill="FFFFFF"/>
        <w:spacing w:after="0" w:line="240" w:lineRule="auto"/>
        <w:ind w:left="1290"/>
        <w:rPr>
          <w:rFonts w:ascii="Segoe UI" w:hAnsi="Segoe UI" w:cs="Segoe UI"/>
          <w:color w:val="171717"/>
        </w:rPr>
      </w:pPr>
      <w:r>
        <w:rPr>
          <w:rFonts w:ascii="Segoe UI" w:hAnsi="Segoe UI" w:cs="Segoe UI"/>
          <w:color w:val="171717"/>
        </w:rPr>
        <w:t>PaaS (plataforma como serviço)</w:t>
      </w:r>
    </w:p>
    <w:p w14:paraId="1361FF55" w14:textId="77777777" w:rsidR="004F0204" w:rsidRDefault="004F0204" w:rsidP="004F0204">
      <w:pPr>
        <w:numPr>
          <w:ilvl w:val="0"/>
          <w:numId w:val="3"/>
        </w:numPr>
        <w:shd w:val="clear" w:color="auto" w:fill="FFFFFF"/>
        <w:spacing w:after="0" w:line="240" w:lineRule="auto"/>
        <w:ind w:left="1290"/>
        <w:rPr>
          <w:rFonts w:ascii="Segoe UI" w:hAnsi="Segoe UI" w:cs="Segoe UI"/>
          <w:color w:val="171717"/>
        </w:rPr>
      </w:pPr>
      <w:r>
        <w:rPr>
          <w:rFonts w:ascii="Segoe UI" w:hAnsi="Segoe UI" w:cs="Segoe UI"/>
          <w:color w:val="171717"/>
        </w:rPr>
        <w:t>SaaS (software como serviço)</w:t>
      </w:r>
    </w:p>
    <w:p w14:paraId="318D24BD"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A Microsoft é o primeiro provedor de soluções de nuvem global a receber essa certificação em todas as três classificações.</w:t>
      </w:r>
    </w:p>
    <w:p w14:paraId="0EC73DBB" w14:textId="77777777" w:rsidR="004F0204" w:rsidRDefault="004F0204" w:rsidP="004F0204">
      <w:pPr>
        <w:pStyle w:val="Ttulo3"/>
        <w:shd w:val="clear" w:color="auto" w:fill="FFFFFF"/>
        <w:spacing w:before="450" w:after="270"/>
        <w:rPr>
          <w:rFonts w:ascii="Segoe UI" w:hAnsi="Segoe UI" w:cs="Segoe UI"/>
          <w:color w:val="171717"/>
        </w:rPr>
      </w:pPr>
      <w:r>
        <w:rPr>
          <w:rFonts w:ascii="Segoe UI" w:hAnsi="Segoe UI" w:cs="Segoe UI"/>
          <w:color w:val="171717"/>
        </w:rPr>
        <w:lastRenderedPageBreak/>
        <w:t>Controles de Organização de Serviço 1, 2 e 3</w:t>
      </w:r>
    </w:p>
    <w:p w14:paraId="0C97E4F6"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Os serviços de nuvem cobertos pela Microsoft são auditados pelo menos uma vez ao ano em relação à estrutura de relatório SOC (Controles de Organização de Serviço) por auditores terceirizados independentes.</w:t>
      </w:r>
    </w:p>
    <w:p w14:paraId="3A37636C"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A auditoria dos serviços em nuvem da Microsoft aborda os controles de segurança, disponibilidade, processamento, integridade e confidencialidade dos dados, conforme aplicável aos princípios de confiança em escopo de cada serviço.</w:t>
      </w:r>
    </w:p>
    <w:p w14:paraId="79EDE698" w14:textId="77777777" w:rsidR="004F0204" w:rsidRDefault="004F0204" w:rsidP="004F0204">
      <w:pPr>
        <w:pStyle w:val="Ttulo3"/>
        <w:shd w:val="clear" w:color="auto" w:fill="FFFFFF"/>
        <w:spacing w:before="450" w:after="270"/>
        <w:rPr>
          <w:rFonts w:ascii="Segoe UI" w:hAnsi="Segoe UI" w:cs="Segoe UI"/>
          <w:color w:val="171717"/>
        </w:rPr>
      </w:pPr>
      <w:r>
        <w:rPr>
          <w:rFonts w:ascii="Segoe UI" w:hAnsi="Segoe UI" w:cs="Segoe UI"/>
          <w:color w:val="171717"/>
        </w:rPr>
        <w:t>National Institute of Standards and Technology Cybersecurity Framework</w:t>
      </w:r>
    </w:p>
    <w:p w14:paraId="36B4568C"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O NIST (National Institute of Standards and Technology ) CSF (Cybersecurity Framework) é uma estrutura voluntária que consiste em padrões, diretrizes e melhores práticas para gerenciar riscos de segurança cibernética.</w:t>
      </w:r>
    </w:p>
    <w:p w14:paraId="3F69001E"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Os serviços em nuvem da Microsoft passaram por auditorias independentes de terceiros de Linhas de Base Alta e Moderada do FedRAMP (Federal Risk and Authorization Management Program). Os serviços em nuvem da Microsoft são certificados de acordo com os padrões do FedRAMP.</w:t>
      </w:r>
    </w:p>
    <w:p w14:paraId="3A364EC6"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Além disso, por meio de uma avaliação validada realizada pela HITRUST (Health Information Trust Alliance), uma organização líder em desenvolvimento e capacitação de padrões de privacidade e segurança, o Office 365 foi certificado para os objetivos especificados na CSF do NIST.</w:t>
      </w:r>
    </w:p>
    <w:p w14:paraId="5078CD88" w14:textId="77777777" w:rsidR="004F0204" w:rsidRDefault="004F0204" w:rsidP="004F0204">
      <w:pPr>
        <w:pStyle w:val="Ttulo3"/>
        <w:shd w:val="clear" w:color="auto" w:fill="FFFFFF"/>
        <w:spacing w:before="450" w:after="270"/>
        <w:rPr>
          <w:rFonts w:ascii="Segoe UI" w:hAnsi="Segoe UI" w:cs="Segoe UI"/>
          <w:color w:val="171717"/>
        </w:rPr>
      </w:pPr>
      <w:r>
        <w:rPr>
          <w:rFonts w:ascii="Segoe UI" w:hAnsi="Segoe UI" w:cs="Segoe UI"/>
          <w:color w:val="171717"/>
        </w:rPr>
        <w:t>Government G-Cloud do Reino Unido</w:t>
      </w:r>
    </w:p>
    <w:p w14:paraId="4571BECF" w14:textId="77777777" w:rsidR="004F0204" w:rsidRDefault="004F0204" w:rsidP="004F0204">
      <w:pPr>
        <w:pStyle w:val="NormalWeb"/>
        <w:shd w:val="clear" w:color="auto" w:fill="FFFFFF"/>
        <w:rPr>
          <w:rFonts w:ascii="Segoe UI" w:hAnsi="Segoe UI" w:cs="Segoe UI"/>
          <w:color w:val="171717"/>
        </w:rPr>
      </w:pPr>
      <w:r>
        <w:rPr>
          <w:rFonts w:ascii="Segoe UI" w:hAnsi="Segoe UI" w:cs="Segoe UI"/>
          <w:color w:val="171717"/>
        </w:rPr>
        <w:t>O Government G-Cloud do UK (Reino Unido) é uma certificação de computação em nuvem para serviços usados por entidades governamentais no Reino Unido. O Azure recebeu credenciamento oficial do governo do Reino Unido.</w:t>
      </w:r>
    </w:p>
    <w:p w14:paraId="72F4BC82" w14:textId="77777777" w:rsidR="00E67572" w:rsidRDefault="00E67572" w:rsidP="00E67572">
      <w:pPr>
        <w:pStyle w:val="Ttulo1"/>
        <w:shd w:val="clear" w:color="auto" w:fill="FFFFFF"/>
        <w:spacing w:before="0" w:beforeAutospacing="0" w:after="0" w:afterAutospacing="0"/>
        <w:rPr>
          <w:rFonts w:ascii="Segoe UI" w:hAnsi="Segoe UI" w:cs="Segoe UI"/>
          <w:color w:val="171717"/>
        </w:rPr>
      </w:pPr>
      <w:r>
        <w:rPr>
          <w:rFonts w:ascii="Segoe UI" w:hAnsi="Segoe UI" w:cs="Segoe UI"/>
          <w:color w:val="171717"/>
        </w:rPr>
        <w:t>Acessar a Política de Privacidade, os Termos dos Serviços Online e o Adendo de Proteção de Dados da Microsoft</w:t>
      </w:r>
    </w:p>
    <w:p w14:paraId="169D511A" w14:textId="4A79487B" w:rsidR="003C402E" w:rsidRDefault="003C402E" w:rsidP="004F0204"/>
    <w:p w14:paraId="209F79C8" w14:textId="77777777" w:rsidR="00E67572" w:rsidRPr="00E67572" w:rsidRDefault="00E67572" w:rsidP="00E67572">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E67572">
        <w:rPr>
          <w:rFonts w:ascii="Segoe UI" w:eastAsia="Times New Roman" w:hAnsi="Segoe UI" w:cs="Segoe UI"/>
          <w:color w:val="171717"/>
          <w:sz w:val="24"/>
          <w:szCs w:val="24"/>
          <w:lang w:eastAsia="pt-BR"/>
        </w:rPr>
        <w:lastRenderedPageBreak/>
        <w:t>Nesta seção, você verá como a Política de Privacidade, os Termos dos Serviços Online e o Adendo de Proteção de Dados da Microsoft explicam os dados pessoais coletados pela Microsoft, como ela os utiliza e para quais finalidades.</w:t>
      </w:r>
    </w:p>
    <w:p w14:paraId="210FC2DA" w14:textId="77777777" w:rsidR="00E67572" w:rsidRPr="00E67572" w:rsidRDefault="00E67572" w:rsidP="00E67572">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E67572">
        <w:rPr>
          <w:rFonts w:ascii="Segoe UI" w:eastAsia="Times New Roman" w:hAnsi="Segoe UI" w:cs="Segoe UI"/>
          <w:color w:val="171717"/>
          <w:sz w:val="24"/>
          <w:szCs w:val="24"/>
          <w:lang w:eastAsia="pt-BR"/>
        </w:rPr>
        <w:t>Para a Tailwind Traders, entender o compromisso da Microsoft com a privacidade ajuda a garantir que os dados de seus clientes e aplicativos estarão protegidos.</w:t>
      </w:r>
    </w:p>
    <w:p w14:paraId="0D9D858E" w14:textId="77777777" w:rsidR="00E67572" w:rsidRDefault="00E67572" w:rsidP="00E67572">
      <w:pPr>
        <w:pStyle w:val="NormalWeb"/>
        <w:shd w:val="clear" w:color="auto" w:fill="FFFFFF"/>
        <w:rPr>
          <w:rFonts w:ascii="Segoe UI" w:hAnsi="Segoe UI" w:cs="Segoe UI"/>
          <w:color w:val="171717"/>
        </w:rPr>
      </w:pPr>
      <w:r>
        <w:rPr>
          <w:rFonts w:ascii="Segoe UI" w:hAnsi="Segoe UI" w:cs="Segoe UI"/>
          <w:color w:val="171717"/>
        </w:rPr>
        <w:t>Vamos continuar com uma breve visão da Política de Privacidade da Microsoft e onde encontrá-la.</w:t>
      </w:r>
    </w:p>
    <w:p w14:paraId="6F1957E6" w14:textId="77777777" w:rsidR="00E67572" w:rsidRDefault="00E67572" w:rsidP="00E67572">
      <w:pPr>
        <w:pStyle w:val="Ttulo2"/>
        <w:shd w:val="clear" w:color="auto" w:fill="FFFFFF"/>
        <w:spacing w:before="480" w:after="180"/>
        <w:rPr>
          <w:rFonts w:ascii="Segoe UI" w:hAnsi="Segoe UI" w:cs="Segoe UI"/>
          <w:color w:val="171717"/>
        </w:rPr>
      </w:pPr>
      <w:r>
        <w:rPr>
          <w:rFonts w:ascii="Segoe UI" w:hAnsi="Segoe UI" w:cs="Segoe UI"/>
          <w:color w:val="171717"/>
        </w:rPr>
        <w:t>O que está contido na Política de Privacidade da Microsoft?</w:t>
      </w:r>
    </w:p>
    <w:p w14:paraId="3A4DFF0D" w14:textId="77777777" w:rsidR="00E67572" w:rsidRDefault="00E67572" w:rsidP="00E67572">
      <w:pPr>
        <w:pStyle w:val="NormalWeb"/>
        <w:shd w:val="clear" w:color="auto" w:fill="FFFFFF"/>
        <w:rPr>
          <w:rFonts w:ascii="Segoe UI" w:hAnsi="Segoe UI" w:cs="Segoe UI"/>
          <w:color w:val="171717"/>
        </w:rPr>
      </w:pPr>
      <w:r>
        <w:rPr>
          <w:rFonts w:ascii="Segoe UI" w:hAnsi="Segoe UI" w:cs="Segoe UI"/>
          <w:color w:val="171717"/>
        </w:rPr>
        <w:t>A </w:t>
      </w:r>
      <w:hyperlink r:id="rId6" w:tgtFrame="az-portal" w:history="1">
        <w:r>
          <w:rPr>
            <w:rStyle w:val="Hyperlink"/>
            <w:rFonts w:ascii="Segoe UI" w:hAnsi="Segoe UI" w:cs="Segoe UI"/>
          </w:rPr>
          <w:t>Política de Privacidade da Microsoft</w:t>
        </w:r>
      </w:hyperlink>
      <w:r>
        <w:rPr>
          <w:rFonts w:ascii="Segoe UI" w:hAnsi="Segoe UI" w:cs="Segoe UI"/>
          <w:color w:val="171717"/>
        </w:rPr>
        <w:t> explica quais dados pessoais a Microsoft coleta, como a Microsoft os utiliza e para quais fins.</w:t>
      </w:r>
    </w:p>
    <w:p w14:paraId="5D3E7029" w14:textId="77777777" w:rsidR="00E67572" w:rsidRDefault="00E67572" w:rsidP="00E67572">
      <w:pPr>
        <w:pStyle w:val="NormalWeb"/>
        <w:shd w:val="clear" w:color="auto" w:fill="FFFFFF"/>
        <w:rPr>
          <w:rFonts w:ascii="Segoe UI" w:hAnsi="Segoe UI" w:cs="Segoe UI"/>
          <w:color w:val="171717"/>
        </w:rPr>
      </w:pPr>
      <w:r>
        <w:rPr>
          <w:rFonts w:ascii="Segoe UI" w:hAnsi="Segoe UI" w:cs="Segoe UI"/>
          <w:color w:val="171717"/>
        </w:rPr>
        <w:t>A política de privacidade abrange todos os serviços, sites, aplicativos, softwares, servidores e dispositivos da Microsoft. Essa lista inclui desde produtos corporativos e de servidor até dispositivos que você usa em casa, passando pelos softwares que os alunos usam na escola.</w:t>
      </w:r>
    </w:p>
    <w:p w14:paraId="3F61B7F3" w14:textId="77777777" w:rsidR="00E67572" w:rsidRDefault="00E67572" w:rsidP="00E67572">
      <w:pPr>
        <w:pStyle w:val="NormalWeb"/>
        <w:shd w:val="clear" w:color="auto" w:fill="FFFFFF"/>
        <w:rPr>
          <w:rFonts w:ascii="Segoe UI" w:hAnsi="Segoe UI" w:cs="Segoe UI"/>
          <w:color w:val="171717"/>
        </w:rPr>
      </w:pPr>
      <w:r>
        <w:rPr>
          <w:rFonts w:ascii="Segoe UI" w:hAnsi="Segoe UI" w:cs="Segoe UI"/>
          <w:color w:val="171717"/>
        </w:rPr>
        <w:t>A política de privacidade da Microsoft também fornece informações relevantes para produtos específicos, como o Windows e o Xbox.</w:t>
      </w:r>
    </w:p>
    <w:p w14:paraId="22DAC410" w14:textId="77777777" w:rsidR="00E67572" w:rsidRDefault="00E67572" w:rsidP="00E67572">
      <w:pPr>
        <w:pStyle w:val="Ttulo2"/>
        <w:shd w:val="clear" w:color="auto" w:fill="FFFFFF"/>
        <w:spacing w:before="480" w:after="180"/>
        <w:rPr>
          <w:rFonts w:ascii="Segoe UI" w:hAnsi="Segoe UI" w:cs="Segoe UI"/>
          <w:color w:val="171717"/>
        </w:rPr>
      </w:pPr>
      <w:r>
        <w:rPr>
          <w:rFonts w:ascii="Segoe UI" w:hAnsi="Segoe UI" w:cs="Segoe UI"/>
          <w:color w:val="171717"/>
        </w:rPr>
        <w:t>O que está contido nos Termos dos Serviços Online?</w:t>
      </w:r>
    </w:p>
    <w:p w14:paraId="3DA06B09" w14:textId="77777777" w:rsidR="00E67572" w:rsidRDefault="00E67572" w:rsidP="00E67572">
      <w:pPr>
        <w:pStyle w:val="NormalWeb"/>
        <w:shd w:val="clear" w:color="auto" w:fill="FFFFFF"/>
        <w:rPr>
          <w:rFonts w:ascii="Segoe UI" w:hAnsi="Segoe UI" w:cs="Segoe UI"/>
          <w:color w:val="171717"/>
        </w:rPr>
      </w:pPr>
      <w:r>
        <w:rPr>
          <w:rFonts w:ascii="Segoe UI" w:hAnsi="Segoe UI" w:cs="Segoe UI"/>
          <w:color w:val="171717"/>
        </w:rPr>
        <w:t>O </w:t>
      </w:r>
      <w:hyperlink r:id="rId7" w:tgtFrame="az-portal" w:history="1">
        <w:r>
          <w:rPr>
            <w:rStyle w:val="Hyperlink"/>
            <w:rFonts w:ascii="Segoe UI" w:hAnsi="Segoe UI" w:cs="Segoe UI"/>
          </w:rPr>
          <w:t>OST</w:t>
        </w:r>
      </w:hyperlink>
      <w:r>
        <w:rPr>
          <w:rFonts w:ascii="Segoe UI" w:hAnsi="Segoe UI" w:cs="Segoe UI"/>
          <w:color w:val="171717"/>
        </w:rPr>
        <w:t> (Termos dos Serviços Online) é um contrato legal entre a Microsoft e o cliente. O OST detalha as obrigações das duas partes em relação ao processamento e à segurança de dados de clientes e dados pessoais. O OST se aplica especificamente ao serviços online da Microsoft que você licencia por meio de uma assinatura, incluindo o Azure, o Dynamics 365, o Office 365 e o Bing Mapas.</w:t>
      </w:r>
    </w:p>
    <w:p w14:paraId="4E370E36" w14:textId="77777777" w:rsidR="00E67572" w:rsidRDefault="00E67572" w:rsidP="00E67572">
      <w:pPr>
        <w:pStyle w:val="Ttulo2"/>
        <w:shd w:val="clear" w:color="auto" w:fill="FFFFFF"/>
        <w:spacing w:before="480" w:after="180"/>
        <w:rPr>
          <w:rFonts w:ascii="Segoe UI" w:hAnsi="Segoe UI" w:cs="Segoe UI"/>
          <w:color w:val="171717"/>
        </w:rPr>
      </w:pPr>
      <w:r>
        <w:rPr>
          <w:rFonts w:ascii="Segoe UI" w:hAnsi="Segoe UI" w:cs="Segoe UI"/>
          <w:color w:val="171717"/>
        </w:rPr>
        <w:t>O que é o Adendo de Proteção de Dados?</w:t>
      </w:r>
    </w:p>
    <w:p w14:paraId="31291492" w14:textId="77777777" w:rsidR="00E67572" w:rsidRDefault="00E67572" w:rsidP="00E67572">
      <w:pPr>
        <w:pStyle w:val="NormalWeb"/>
        <w:shd w:val="clear" w:color="auto" w:fill="FFFFFF"/>
        <w:rPr>
          <w:rFonts w:ascii="Segoe UI" w:hAnsi="Segoe UI" w:cs="Segoe UI"/>
          <w:color w:val="171717"/>
        </w:rPr>
      </w:pPr>
      <w:r>
        <w:rPr>
          <w:rFonts w:ascii="Segoe UI" w:hAnsi="Segoe UI" w:cs="Segoe UI"/>
          <w:color w:val="171717"/>
        </w:rPr>
        <w:t>O DPA (Adendo de Proteção de Dados) define com mais profundidade os termos de segurança e processamento de dados dos serviços online. Esses termos incluem:</w:t>
      </w:r>
    </w:p>
    <w:p w14:paraId="1006EE8C" w14:textId="77777777" w:rsidR="00E67572" w:rsidRDefault="00E67572" w:rsidP="00E67572">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Conformidade com as leis.</w:t>
      </w:r>
    </w:p>
    <w:p w14:paraId="74FA2B9A" w14:textId="77777777" w:rsidR="00E67572" w:rsidRDefault="00E67572" w:rsidP="00E67572">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Divulgação de dados processados.</w:t>
      </w:r>
    </w:p>
    <w:p w14:paraId="3C679C5F" w14:textId="77777777" w:rsidR="00E67572" w:rsidRDefault="00E67572" w:rsidP="00E67572">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lastRenderedPageBreak/>
        <w:t>Segurança de Dados, que inclui políticas e práticas de segurança, criptografia de dados, acesso a dados, responsabilidades do cliente e conformidade com auditorias.</w:t>
      </w:r>
    </w:p>
    <w:p w14:paraId="6DE6B1DD" w14:textId="77777777" w:rsidR="00E67572" w:rsidRDefault="00E67572" w:rsidP="00E67572">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Transferência, retenção e exclusão de dados.</w:t>
      </w:r>
    </w:p>
    <w:p w14:paraId="464264D2" w14:textId="77777777" w:rsidR="00E67572" w:rsidRDefault="00E67572" w:rsidP="00E67572">
      <w:pPr>
        <w:pStyle w:val="NormalWeb"/>
        <w:shd w:val="clear" w:color="auto" w:fill="FFFFFF"/>
        <w:rPr>
          <w:rFonts w:ascii="Segoe UI" w:hAnsi="Segoe UI" w:cs="Segoe UI"/>
          <w:color w:val="171717"/>
        </w:rPr>
      </w:pPr>
      <w:r>
        <w:rPr>
          <w:rFonts w:ascii="Segoe UI" w:hAnsi="Segoe UI" w:cs="Segoe UI"/>
          <w:color w:val="171717"/>
        </w:rPr>
        <w:t>Para acessar o DPA:</w:t>
      </w:r>
    </w:p>
    <w:p w14:paraId="7C2297BD" w14:textId="77777777" w:rsidR="00E67572" w:rsidRDefault="00E67572" w:rsidP="00E67572">
      <w:pPr>
        <w:pStyle w:val="NormalWeb"/>
        <w:numPr>
          <w:ilvl w:val="0"/>
          <w:numId w:val="5"/>
        </w:numPr>
        <w:shd w:val="clear" w:color="auto" w:fill="FFFFFF"/>
        <w:ind w:left="1290"/>
        <w:rPr>
          <w:rFonts w:ascii="Segoe UI" w:hAnsi="Segoe UI" w:cs="Segoe UI"/>
          <w:color w:val="171717"/>
        </w:rPr>
      </w:pPr>
      <w:r>
        <w:rPr>
          <w:rFonts w:ascii="Segoe UI" w:hAnsi="Segoe UI" w:cs="Segoe UI"/>
          <w:color w:val="171717"/>
        </w:rPr>
        <w:t>Acesse a </w:t>
      </w:r>
      <w:hyperlink r:id="rId8" w:tgtFrame="az-portal" w:history="1">
        <w:r>
          <w:rPr>
            <w:rStyle w:val="Hyperlink"/>
            <w:rFonts w:ascii="Segoe UI" w:hAnsi="Segoe UI" w:cs="Segoe UI"/>
          </w:rPr>
          <w:t>Documentação e os Termos de Licenciamento</w:t>
        </w:r>
      </w:hyperlink>
      <w:r>
        <w:rPr>
          <w:rFonts w:ascii="Segoe UI" w:hAnsi="Segoe UI" w:cs="Segoe UI"/>
          <w:color w:val="171717"/>
        </w:rPr>
        <w:t>.</w:t>
      </w:r>
    </w:p>
    <w:p w14:paraId="56242A7D" w14:textId="77777777" w:rsidR="00E67572" w:rsidRDefault="00E67572" w:rsidP="00E67572">
      <w:pPr>
        <w:pStyle w:val="NormalWeb"/>
        <w:numPr>
          <w:ilvl w:val="0"/>
          <w:numId w:val="5"/>
        </w:numPr>
        <w:shd w:val="clear" w:color="auto" w:fill="FFFFFF"/>
        <w:ind w:left="1290"/>
        <w:rPr>
          <w:rFonts w:ascii="Segoe UI" w:hAnsi="Segoe UI" w:cs="Segoe UI"/>
          <w:color w:val="171717"/>
        </w:rPr>
      </w:pPr>
      <w:r>
        <w:rPr>
          <w:rFonts w:ascii="Segoe UI" w:hAnsi="Segoe UI" w:cs="Segoe UI"/>
          <w:color w:val="171717"/>
        </w:rPr>
        <w:t>Na barra de pesquisa, insira </w:t>
      </w:r>
      <w:r>
        <w:rPr>
          <w:rStyle w:val="Forte"/>
          <w:rFonts w:ascii="Segoe UI" w:hAnsi="Segoe UI" w:cs="Segoe UI"/>
          <w:color w:val="171717"/>
        </w:rPr>
        <w:t>DPA</w:t>
      </w:r>
      <w:r>
        <w:rPr>
          <w:rFonts w:ascii="Segoe UI" w:hAnsi="Segoe UI" w:cs="Segoe UI"/>
          <w:color w:val="171717"/>
        </w:rPr>
        <w:t>.</w:t>
      </w:r>
    </w:p>
    <w:p w14:paraId="447EEEED" w14:textId="77777777" w:rsidR="00E67572" w:rsidRDefault="00E67572" w:rsidP="00E67572">
      <w:pPr>
        <w:pStyle w:val="NormalWeb"/>
        <w:numPr>
          <w:ilvl w:val="0"/>
          <w:numId w:val="5"/>
        </w:numPr>
        <w:shd w:val="clear" w:color="auto" w:fill="FFFFFF"/>
        <w:ind w:left="1290"/>
        <w:rPr>
          <w:rFonts w:ascii="Segoe UI" w:hAnsi="Segoe UI" w:cs="Segoe UI"/>
          <w:color w:val="171717"/>
        </w:rPr>
      </w:pPr>
      <w:r>
        <w:rPr>
          <w:rFonts w:ascii="Segoe UI" w:hAnsi="Segoe UI" w:cs="Segoe UI"/>
          <w:color w:val="171717"/>
        </w:rPr>
        <w:t>Nos resultados da pesquisa, localize o link para o DPA no idioma de sua preferência. Como alternativa, na barra de pesquisa que aparece, insira o idioma de sua preferência para filtrar os resultados. Veja um exemplo que recupera a versão em inglês do DPA.</w:t>
      </w:r>
    </w:p>
    <w:p w14:paraId="54A0DB0E" w14:textId="3DC20033" w:rsidR="00E67572" w:rsidRDefault="00E67572" w:rsidP="00E67572">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7F3ACB7D" wp14:editId="3653892B">
            <wp:extent cx="5400040" cy="2880360"/>
            <wp:effectExtent l="0" t="0" r="0" b="0"/>
            <wp:docPr id="2" name="Imagem 2" descr="A screenshot of the Licensing Terms and Documentation page that shows how to download the English version of the Data Protection Addend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the Licensing Terms and Documentation page that shows how to download the English version of the Data Protection Addend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880360"/>
                    </a:xfrm>
                    <a:prstGeom prst="rect">
                      <a:avLst/>
                    </a:prstGeom>
                    <a:noFill/>
                    <a:ln>
                      <a:noFill/>
                    </a:ln>
                  </pic:spPr>
                </pic:pic>
              </a:graphicData>
            </a:graphic>
          </wp:inline>
        </w:drawing>
      </w:r>
    </w:p>
    <w:p w14:paraId="3A008393" w14:textId="77777777" w:rsidR="00E67572" w:rsidRDefault="00E67572" w:rsidP="00E67572">
      <w:pPr>
        <w:pStyle w:val="NormalWeb"/>
        <w:shd w:val="clear" w:color="auto" w:fill="FFFFFF"/>
        <w:rPr>
          <w:rFonts w:ascii="Segoe UI" w:hAnsi="Segoe UI" w:cs="Segoe UI"/>
          <w:color w:val="171717"/>
        </w:rPr>
      </w:pPr>
      <w:r>
        <w:rPr>
          <w:rFonts w:ascii="Segoe UI" w:hAnsi="Segoe UI" w:cs="Segoe UI"/>
          <w:color w:val="171717"/>
        </w:rPr>
        <w:t>A transparência é importante quando se trata de como um provedor de nuvem comunica suas políticas de privacidade e de como ele trata seus dados. O DPA, o OST e a Política de Privacidade da Microsoft detalham o compromisso da Microsoft com a proteção de dados e da privacidade na nuvem.</w:t>
      </w:r>
    </w:p>
    <w:p w14:paraId="183AE4D4" w14:textId="77777777" w:rsidR="003F1A37" w:rsidRDefault="003F1A37" w:rsidP="003F1A37">
      <w:pPr>
        <w:pStyle w:val="Ttulo1"/>
        <w:shd w:val="clear" w:color="auto" w:fill="FFFFFF"/>
        <w:spacing w:before="0" w:beforeAutospacing="0" w:after="0" w:afterAutospacing="0"/>
        <w:rPr>
          <w:rFonts w:ascii="Segoe UI" w:hAnsi="Segoe UI" w:cs="Segoe UI"/>
          <w:color w:val="171717"/>
        </w:rPr>
      </w:pPr>
      <w:r>
        <w:rPr>
          <w:rFonts w:ascii="Segoe UI" w:hAnsi="Segoe UI" w:cs="Segoe UI"/>
          <w:color w:val="171717"/>
        </w:rPr>
        <w:t>Explorar a Central de Confiabilidade</w:t>
      </w:r>
    </w:p>
    <w:p w14:paraId="5D050325" w14:textId="77777777" w:rsidR="003F1A37" w:rsidRDefault="003F1A37" w:rsidP="003F1A37">
      <w:pPr>
        <w:pStyle w:val="NormalWeb"/>
        <w:shd w:val="clear" w:color="auto" w:fill="FFFFFF"/>
        <w:rPr>
          <w:rFonts w:ascii="Segoe UI" w:hAnsi="Segoe UI" w:cs="Segoe UI"/>
          <w:color w:val="171717"/>
        </w:rPr>
      </w:pPr>
      <w:r>
        <w:rPr>
          <w:rFonts w:ascii="Segoe UI" w:hAnsi="Segoe UI" w:cs="Segoe UI"/>
          <w:color w:val="171717"/>
        </w:rPr>
        <w:t>A Tailwind Traders precisa se manter atualizada com relação aos padrões de segurança mais recentes para proteger seus dados. Hoje, a equipe de segurança precisa verificar se o Azure atende ao ISO 27001, um padrão de segurança de informações amplamente utilizado. Onde a empresa pode acessar essas informações?</w:t>
      </w:r>
    </w:p>
    <w:p w14:paraId="24568B28" w14:textId="77777777" w:rsidR="003F1A37" w:rsidRDefault="003F1A37" w:rsidP="003F1A37">
      <w:pPr>
        <w:pStyle w:val="NormalWeb"/>
        <w:shd w:val="clear" w:color="auto" w:fill="FFFFFF"/>
        <w:rPr>
          <w:rFonts w:ascii="Segoe UI" w:hAnsi="Segoe UI" w:cs="Segoe UI"/>
          <w:color w:val="171717"/>
        </w:rPr>
      </w:pPr>
      <w:r>
        <w:rPr>
          <w:rFonts w:ascii="Segoe UI" w:hAnsi="Segoe UI" w:cs="Segoe UI"/>
          <w:color w:val="171717"/>
        </w:rPr>
        <w:lastRenderedPageBreak/>
        <w:t>A </w:t>
      </w:r>
      <w:hyperlink r:id="rId10" w:tgtFrame="az-portal" w:history="1">
        <w:r>
          <w:rPr>
            <w:rStyle w:val="Hyperlink"/>
            <w:rFonts w:ascii="Segoe UI" w:hAnsi="Segoe UI" w:cs="Segoe UI"/>
          </w:rPr>
          <w:t>Central de Confiabilidade</w:t>
        </w:r>
      </w:hyperlink>
      <w:r>
        <w:rPr>
          <w:rFonts w:ascii="Segoe UI" w:hAnsi="Segoe UI" w:cs="Segoe UI"/>
          <w:color w:val="171717"/>
        </w:rPr>
        <w:t> demonstra os princípios da Microsoft para manutenção da integridade dos dados na nuvem e como a Microsoft implementa e dá suporte à segurança, à privacidade, à conformidade e à transparência em todos os seus produtos e serviços em nuvem. A Central de Confiabilidade é uma parte importante da iniciativa de Nuvem Confiável da Microsoft e dá suporte e fornece recursos para a comunidade jurídica e de conformidade.</w:t>
      </w:r>
    </w:p>
    <w:p w14:paraId="27253E1F" w14:textId="6E68ACF5" w:rsidR="003F1A37" w:rsidRDefault="003F1A37" w:rsidP="003F1A37">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64D76504" wp14:editId="4269C2F3">
            <wp:extent cx="5400040" cy="3408045"/>
            <wp:effectExtent l="0" t="0" r="0" b="1905"/>
            <wp:docPr id="5" name="Imagem 5" descr="A screenshot that shows the Trust Center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that shows the Trust Center home p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08045"/>
                    </a:xfrm>
                    <a:prstGeom prst="rect">
                      <a:avLst/>
                    </a:prstGeom>
                    <a:noFill/>
                    <a:ln>
                      <a:noFill/>
                    </a:ln>
                  </pic:spPr>
                </pic:pic>
              </a:graphicData>
            </a:graphic>
          </wp:inline>
        </w:drawing>
      </w:r>
    </w:p>
    <w:p w14:paraId="5ACCF4C4" w14:textId="77777777" w:rsidR="003F1A37" w:rsidRDefault="003F1A37" w:rsidP="003F1A37">
      <w:pPr>
        <w:pStyle w:val="NormalWeb"/>
        <w:shd w:val="clear" w:color="auto" w:fill="FFFFFF"/>
        <w:rPr>
          <w:rFonts w:ascii="Segoe UI" w:hAnsi="Segoe UI" w:cs="Segoe UI"/>
          <w:color w:val="171717"/>
        </w:rPr>
      </w:pPr>
      <w:r>
        <w:rPr>
          <w:rFonts w:ascii="Segoe UI" w:hAnsi="Segoe UI" w:cs="Segoe UI"/>
          <w:color w:val="171717"/>
        </w:rPr>
        <w:t>A Central de Confiabilidade fornece:</w:t>
      </w:r>
    </w:p>
    <w:p w14:paraId="03D6E450" w14:textId="77777777" w:rsidR="003F1A37" w:rsidRDefault="003F1A37" w:rsidP="003F1A37">
      <w:pPr>
        <w:numPr>
          <w:ilvl w:val="0"/>
          <w:numId w:val="7"/>
        </w:numPr>
        <w:shd w:val="clear" w:color="auto" w:fill="FFFFFF"/>
        <w:spacing w:after="0" w:line="240" w:lineRule="auto"/>
        <w:ind w:left="1290"/>
        <w:rPr>
          <w:rFonts w:ascii="Segoe UI" w:hAnsi="Segoe UI" w:cs="Segoe UI"/>
          <w:color w:val="171717"/>
        </w:rPr>
      </w:pPr>
      <w:r>
        <w:rPr>
          <w:rFonts w:ascii="Segoe UI" w:hAnsi="Segoe UI" w:cs="Segoe UI"/>
          <w:color w:val="171717"/>
        </w:rPr>
        <w:t>Informações detalhadas sobre segurança, privacidade, ofertas de conformidade, políticas, recursos e práticas recomendadas em todos os produtos de nuvem da Microsoft.</w:t>
      </w:r>
    </w:p>
    <w:p w14:paraId="6601941F" w14:textId="77777777" w:rsidR="003F1A37" w:rsidRDefault="003F1A37" w:rsidP="003F1A37">
      <w:pPr>
        <w:numPr>
          <w:ilvl w:val="0"/>
          <w:numId w:val="7"/>
        </w:numPr>
        <w:shd w:val="clear" w:color="auto" w:fill="FFFFFF"/>
        <w:spacing w:after="0" w:line="240" w:lineRule="auto"/>
        <w:ind w:left="1290"/>
        <w:rPr>
          <w:rFonts w:ascii="Segoe UI" w:hAnsi="Segoe UI" w:cs="Segoe UI"/>
          <w:color w:val="171717"/>
        </w:rPr>
      </w:pPr>
      <w:r>
        <w:rPr>
          <w:rFonts w:ascii="Segoe UI" w:hAnsi="Segoe UI" w:cs="Segoe UI"/>
          <w:color w:val="171717"/>
        </w:rPr>
        <w:t>Recursos adicionais sobre cada tópico.</w:t>
      </w:r>
    </w:p>
    <w:p w14:paraId="659C58E7" w14:textId="77777777" w:rsidR="003F1A37" w:rsidRDefault="003F1A37" w:rsidP="003F1A37">
      <w:pPr>
        <w:numPr>
          <w:ilvl w:val="0"/>
          <w:numId w:val="7"/>
        </w:numPr>
        <w:shd w:val="clear" w:color="auto" w:fill="FFFFFF"/>
        <w:spacing w:after="0" w:line="240" w:lineRule="auto"/>
        <w:ind w:left="1290"/>
        <w:rPr>
          <w:rFonts w:ascii="Segoe UI" w:hAnsi="Segoe UI" w:cs="Segoe UI"/>
          <w:color w:val="171717"/>
        </w:rPr>
      </w:pPr>
      <w:r>
        <w:rPr>
          <w:rFonts w:ascii="Segoe UI" w:hAnsi="Segoe UI" w:cs="Segoe UI"/>
          <w:color w:val="171717"/>
        </w:rPr>
        <w:t>Links para os blogs de segurança, privacidade e conformidade e eventos futuros.</w:t>
      </w:r>
    </w:p>
    <w:p w14:paraId="3A0B887C" w14:textId="77777777" w:rsidR="003F1A37" w:rsidRDefault="003F1A37" w:rsidP="003F1A37">
      <w:pPr>
        <w:pStyle w:val="NormalWeb"/>
        <w:shd w:val="clear" w:color="auto" w:fill="FFFFFF"/>
        <w:rPr>
          <w:rFonts w:ascii="Segoe UI" w:hAnsi="Segoe UI" w:cs="Segoe UI"/>
          <w:color w:val="171717"/>
        </w:rPr>
      </w:pPr>
      <w:r>
        <w:rPr>
          <w:rFonts w:ascii="Segoe UI" w:hAnsi="Segoe UI" w:cs="Segoe UI"/>
          <w:color w:val="171717"/>
        </w:rPr>
        <w:t>A Central de Confiabilidade é um excelente recurso para outras pessoas de sua organização que podem desempenhar funções de segurança, privacidade e conformidade. Essas pessoas incluem gerentes de negócios, profissionais de avaliação de risco e privacidade e equipes de conformidade jurídica.</w:t>
      </w:r>
    </w:p>
    <w:p w14:paraId="677FCC78" w14:textId="77777777" w:rsidR="003F1A37" w:rsidRDefault="003F1A37" w:rsidP="003F1A37">
      <w:pPr>
        <w:pStyle w:val="Ttulo2"/>
        <w:shd w:val="clear" w:color="auto" w:fill="FFFFFF"/>
        <w:spacing w:before="480" w:after="180"/>
        <w:rPr>
          <w:rFonts w:ascii="Segoe UI" w:hAnsi="Segoe UI" w:cs="Segoe UI"/>
          <w:color w:val="171717"/>
        </w:rPr>
      </w:pPr>
      <w:r>
        <w:rPr>
          <w:rFonts w:ascii="Segoe UI" w:hAnsi="Segoe UI" w:cs="Segoe UI"/>
          <w:color w:val="171717"/>
        </w:rPr>
        <w:t>Explorar a Central de Confiabilidade</w:t>
      </w:r>
    </w:p>
    <w:p w14:paraId="2CD4061D" w14:textId="77777777" w:rsidR="003F1A37" w:rsidRDefault="003F1A37" w:rsidP="003F1A37">
      <w:pPr>
        <w:pStyle w:val="NormalWeb"/>
        <w:shd w:val="clear" w:color="auto" w:fill="FFFFFF"/>
        <w:rPr>
          <w:rFonts w:ascii="Segoe UI" w:hAnsi="Segoe UI" w:cs="Segoe UI"/>
          <w:color w:val="171717"/>
        </w:rPr>
      </w:pPr>
      <w:r>
        <w:rPr>
          <w:rFonts w:ascii="Segoe UI" w:hAnsi="Segoe UI" w:cs="Segoe UI"/>
          <w:color w:val="171717"/>
        </w:rPr>
        <w:t>Como um exercício opcional, vamos olhar rapidamente a entrada na Central de Confiabilidade referente ao ISO 27001.</w:t>
      </w:r>
    </w:p>
    <w:p w14:paraId="5CFB5D4D" w14:textId="77777777" w:rsidR="003F1A37" w:rsidRDefault="003F1A37" w:rsidP="003F1A37">
      <w:pPr>
        <w:pStyle w:val="NormalWeb"/>
        <w:shd w:val="clear" w:color="auto" w:fill="FFFFFF"/>
        <w:rPr>
          <w:rFonts w:ascii="Segoe UI" w:hAnsi="Segoe UI" w:cs="Segoe UI"/>
          <w:color w:val="171717"/>
        </w:rPr>
      </w:pPr>
      <w:r>
        <w:rPr>
          <w:rFonts w:ascii="Segoe UI" w:hAnsi="Segoe UI" w:cs="Segoe UI"/>
          <w:color w:val="171717"/>
        </w:rPr>
        <w:lastRenderedPageBreak/>
        <w:t>O acesso à Central de Confiabilidade não requer uma assinatura do Azure nem uma conta Microsoft.</w:t>
      </w:r>
    </w:p>
    <w:p w14:paraId="323739DA" w14:textId="77777777" w:rsidR="003F1A37" w:rsidRDefault="003F1A37" w:rsidP="003F1A37">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Vá até a </w:t>
      </w:r>
      <w:hyperlink r:id="rId12" w:tgtFrame="az-portal" w:history="1">
        <w:r>
          <w:rPr>
            <w:rStyle w:val="Hyperlink"/>
            <w:rFonts w:ascii="Segoe UI" w:hAnsi="Segoe UI" w:cs="Segoe UI"/>
          </w:rPr>
          <w:t>Central de Confiabilidade</w:t>
        </w:r>
      </w:hyperlink>
      <w:r>
        <w:rPr>
          <w:rFonts w:ascii="Segoe UI" w:hAnsi="Segoe UI" w:cs="Segoe UI"/>
          <w:color w:val="171717"/>
        </w:rPr>
        <w:t>.</w:t>
      </w:r>
    </w:p>
    <w:p w14:paraId="0BB322BC" w14:textId="77777777" w:rsidR="003F1A37" w:rsidRDefault="003F1A37" w:rsidP="003F1A37">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Localize a seção </w:t>
      </w:r>
      <w:r>
        <w:rPr>
          <w:rStyle w:val="Forte"/>
          <w:rFonts w:ascii="Segoe UI" w:hAnsi="Segoe UI" w:cs="Segoe UI"/>
          <w:color w:val="171717"/>
        </w:rPr>
        <w:t>Recursos adicionais</w:t>
      </w:r>
      <w:r>
        <w:rPr>
          <w:rFonts w:ascii="Segoe UI" w:hAnsi="Segoe UI" w:cs="Segoe UI"/>
          <w:color w:val="171717"/>
        </w:rPr>
        <w:t> na página. Em </w:t>
      </w:r>
      <w:r>
        <w:rPr>
          <w:rStyle w:val="Forte"/>
          <w:rFonts w:ascii="Segoe UI" w:hAnsi="Segoe UI" w:cs="Segoe UI"/>
          <w:color w:val="171717"/>
        </w:rPr>
        <w:t>Ofertas de conformidade</w:t>
      </w:r>
      <w:r>
        <w:rPr>
          <w:rFonts w:ascii="Segoe UI" w:hAnsi="Segoe UI" w:cs="Segoe UI"/>
          <w:color w:val="171717"/>
        </w:rPr>
        <w:t>, selecione </w:t>
      </w:r>
      <w:r>
        <w:rPr>
          <w:rStyle w:val="Forte"/>
          <w:rFonts w:ascii="Segoe UI" w:hAnsi="Segoe UI" w:cs="Segoe UI"/>
          <w:color w:val="171717"/>
        </w:rPr>
        <w:t>Saiba mais</w:t>
      </w:r>
      <w:r>
        <w:rPr>
          <w:rFonts w:ascii="Segoe UI" w:hAnsi="Segoe UI" w:cs="Segoe UI"/>
          <w:color w:val="171717"/>
        </w:rPr>
        <w:t>.</w:t>
      </w:r>
    </w:p>
    <w:p w14:paraId="72484529" w14:textId="468D3746" w:rsidR="003F1A37" w:rsidRDefault="003F1A37" w:rsidP="003F1A37">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364B47E2" wp14:editId="385F996A">
            <wp:extent cx="2533650" cy="2095500"/>
            <wp:effectExtent l="0" t="0" r="0" b="0"/>
            <wp:docPr id="4" name="Imagem 4" descr="A screenshot of the compliance offerings section on the Trus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the compliance offerings section on the Trust 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650" cy="2095500"/>
                    </a:xfrm>
                    <a:prstGeom prst="rect">
                      <a:avLst/>
                    </a:prstGeom>
                    <a:noFill/>
                    <a:ln>
                      <a:noFill/>
                    </a:ln>
                  </pic:spPr>
                </pic:pic>
              </a:graphicData>
            </a:graphic>
          </wp:inline>
        </w:drawing>
      </w:r>
    </w:p>
    <w:p w14:paraId="59921EF1" w14:textId="77777777" w:rsidR="003F1A37" w:rsidRDefault="003F1A37" w:rsidP="003F1A37">
      <w:pPr>
        <w:pStyle w:val="NormalWeb"/>
        <w:shd w:val="clear" w:color="auto" w:fill="FFFFFF"/>
        <w:ind w:left="1290"/>
        <w:rPr>
          <w:rFonts w:ascii="Segoe UI" w:hAnsi="Segoe UI" w:cs="Segoe UI"/>
          <w:color w:val="171717"/>
        </w:rPr>
      </w:pPr>
      <w:r>
        <w:rPr>
          <w:rFonts w:ascii="Segoe UI" w:hAnsi="Segoe UI" w:cs="Segoe UI"/>
          <w:color w:val="171717"/>
        </w:rPr>
        <w:t>Na seção Conformidade do setor regulatório &amp;, clique em </w:t>
      </w:r>
      <w:r>
        <w:rPr>
          <w:rStyle w:val="Forte"/>
          <w:rFonts w:ascii="Segoe UI" w:hAnsi="Segoe UI" w:cs="Segoe UI"/>
          <w:color w:val="171717"/>
        </w:rPr>
        <w:t>Ofertas de conformidade da Microsoft</w:t>
      </w:r>
      <w:r>
        <w:rPr>
          <w:rFonts w:ascii="Segoe UI" w:hAnsi="Segoe UI" w:cs="Segoe UI"/>
          <w:color w:val="171717"/>
        </w:rPr>
        <w:t>.</w:t>
      </w:r>
    </w:p>
    <w:p w14:paraId="55B9F6DD" w14:textId="77777777" w:rsidR="003F1A37" w:rsidRDefault="003F1A37" w:rsidP="003F1A37">
      <w:pPr>
        <w:pStyle w:val="NormalWeb"/>
        <w:shd w:val="clear" w:color="auto" w:fill="FFFFFF"/>
        <w:ind w:left="1290"/>
        <w:rPr>
          <w:rFonts w:ascii="Segoe UI" w:hAnsi="Segoe UI" w:cs="Segoe UI"/>
          <w:color w:val="171717"/>
        </w:rPr>
      </w:pPr>
      <w:r>
        <w:rPr>
          <w:rFonts w:ascii="Segoe UI" w:hAnsi="Segoe UI" w:cs="Segoe UI"/>
          <w:color w:val="171717"/>
        </w:rPr>
        <w:t>Você será levado para </w:t>
      </w:r>
      <w:hyperlink r:id="rId14" w:tgtFrame="az-portal" w:history="1">
        <w:r>
          <w:rPr>
            <w:rStyle w:val="Hyperlink"/>
            <w:rFonts w:ascii="Segoe UI" w:hAnsi="Segoe UI" w:cs="Segoe UI"/>
          </w:rPr>
          <w:t>Ofertas de conformidade da Microsoft</w:t>
        </w:r>
      </w:hyperlink>
      <w:r>
        <w:rPr>
          <w:rFonts w:ascii="Segoe UI" w:hAnsi="Segoe UI" w:cs="Segoe UI"/>
          <w:color w:val="171717"/>
        </w:rPr>
        <w:t>.</w:t>
      </w:r>
    </w:p>
    <w:p w14:paraId="5A406B07" w14:textId="77777777" w:rsidR="003F1A37" w:rsidRDefault="003F1A37" w:rsidP="003F1A37">
      <w:pPr>
        <w:pStyle w:val="NormalWeb"/>
        <w:shd w:val="clear" w:color="auto" w:fill="FFFFFF"/>
        <w:ind w:left="1290"/>
        <w:rPr>
          <w:rFonts w:ascii="Segoe UI" w:hAnsi="Segoe UI" w:cs="Segoe UI"/>
          <w:color w:val="171717"/>
        </w:rPr>
      </w:pPr>
      <w:r>
        <w:rPr>
          <w:rFonts w:ascii="Segoe UI" w:hAnsi="Segoe UI" w:cs="Segoe UI"/>
          <w:color w:val="171717"/>
        </w:rPr>
        <w:t>Essas ofertas são agrupadas em quatro categorias: </w:t>
      </w:r>
      <w:r>
        <w:rPr>
          <w:rStyle w:val="Forte"/>
          <w:rFonts w:ascii="Segoe UI" w:hAnsi="Segoe UI" w:cs="Segoe UI"/>
          <w:color w:val="171717"/>
        </w:rPr>
        <w:t>Global</w:t>
      </w:r>
      <w:r>
        <w:rPr>
          <w:rFonts w:ascii="Segoe UI" w:hAnsi="Segoe UI" w:cs="Segoe UI"/>
          <w:color w:val="171717"/>
        </w:rPr>
        <w:t>, </w:t>
      </w:r>
      <w:r>
        <w:rPr>
          <w:rStyle w:val="Forte"/>
          <w:rFonts w:ascii="Segoe UI" w:hAnsi="Segoe UI" w:cs="Segoe UI"/>
          <w:color w:val="171717"/>
        </w:rPr>
        <w:t>Governo dos EUA</w:t>
      </w:r>
      <w:r>
        <w:rPr>
          <w:rFonts w:ascii="Segoe UI" w:hAnsi="Segoe UI" w:cs="Segoe UI"/>
          <w:color w:val="171717"/>
        </w:rPr>
        <w:t>, </w:t>
      </w:r>
      <w:r>
        <w:rPr>
          <w:rStyle w:val="Forte"/>
          <w:rFonts w:ascii="Segoe UI" w:hAnsi="Segoe UI" w:cs="Segoe UI"/>
          <w:color w:val="171717"/>
        </w:rPr>
        <w:t>Setor</w:t>
      </w:r>
      <w:r>
        <w:rPr>
          <w:rFonts w:ascii="Segoe UI" w:hAnsi="Segoe UI" w:cs="Segoe UI"/>
          <w:color w:val="171717"/>
        </w:rPr>
        <w:t> e </w:t>
      </w:r>
      <w:r>
        <w:rPr>
          <w:rStyle w:val="Forte"/>
          <w:rFonts w:ascii="Segoe UI" w:hAnsi="Segoe UI" w:cs="Segoe UI"/>
          <w:color w:val="171717"/>
        </w:rPr>
        <w:t>Regional</w:t>
      </w:r>
      <w:r>
        <w:rPr>
          <w:rFonts w:ascii="Segoe UI" w:hAnsi="Segoe UI" w:cs="Segoe UI"/>
          <w:color w:val="171717"/>
        </w:rPr>
        <w:t>.</w:t>
      </w:r>
    </w:p>
    <w:p w14:paraId="7456D736" w14:textId="77777777" w:rsidR="003F1A37" w:rsidRDefault="003F1A37" w:rsidP="003F1A37">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Em </w:t>
      </w:r>
      <w:r>
        <w:rPr>
          <w:rStyle w:val="Forte"/>
          <w:rFonts w:ascii="Segoe UI" w:hAnsi="Segoe UI" w:cs="Segoe UI"/>
          <w:color w:val="171717"/>
        </w:rPr>
        <w:t>Global</w:t>
      </w:r>
      <w:r>
        <w:rPr>
          <w:rFonts w:ascii="Segoe UI" w:hAnsi="Segoe UI" w:cs="Segoe UI"/>
          <w:color w:val="171717"/>
        </w:rPr>
        <w:t>, selecione </w:t>
      </w:r>
      <w:r>
        <w:rPr>
          <w:rStyle w:val="Forte"/>
          <w:rFonts w:ascii="Segoe UI" w:hAnsi="Segoe UI" w:cs="Segoe UI"/>
          <w:color w:val="171717"/>
        </w:rPr>
        <w:t>ISO 27001</w:t>
      </w:r>
      <w:r>
        <w:rPr>
          <w:rFonts w:ascii="Segoe UI" w:hAnsi="Segoe UI" w:cs="Segoe UI"/>
          <w:color w:val="171717"/>
        </w:rPr>
        <w:t>.</w:t>
      </w:r>
    </w:p>
    <w:p w14:paraId="428B337E" w14:textId="3CBB14E6" w:rsidR="003F1A37" w:rsidRDefault="003F1A37" w:rsidP="003F1A37">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0111857E" wp14:editId="278F3A44">
            <wp:extent cx="1876425" cy="4086225"/>
            <wp:effectExtent l="0" t="0" r="9525" b="9525"/>
            <wp:docPr id="3" name="Imagem 3" descr="A screenshot of the Microsoft compliance offerings page. The global category is shown, and ISO 27001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Microsoft compliance offerings page. The global category is shown, and ISO 27001 is highligh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6425" cy="4086225"/>
                    </a:xfrm>
                    <a:prstGeom prst="rect">
                      <a:avLst/>
                    </a:prstGeom>
                    <a:noFill/>
                    <a:ln>
                      <a:noFill/>
                    </a:ln>
                  </pic:spPr>
                </pic:pic>
              </a:graphicData>
            </a:graphic>
          </wp:inline>
        </w:drawing>
      </w:r>
    </w:p>
    <w:p w14:paraId="714352CB" w14:textId="77777777" w:rsidR="003F1A37" w:rsidRDefault="003F1A37" w:rsidP="003F1A37">
      <w:pPr>
        <w:pStyle w:val="NormalWeb"/>
        <w:shd w:val="clear" w:color="auto" w:fill="FFFFFF"/>
        <w:ind w:left="1290"/>
        <w:rPr>
          <w:rFonts w:ascii="Segoe UI" w:hAnsi="Segoe UI" w:cs="Segoe UI"/>
          <w:color w:val="171717"/>
        </w:rPr>
      </w:pPr>
      <w:r>
        <w:rPr>
          <w:rFonts w:ascii="Segoe UI" w:hAnsi="Segoe UI" w:cs="Segoe UI"/>
          <w:color w:val="171717"/>
        </w:rPr>
        <w:t>A página dos Padrões de Gerenciamento de Segurança da Informação ISO 27001 é típica do tipo de informações de conformidade que fornecemos.</w:t>
      </w:r>
    </w:p>
    <w:p w14:paraId="3ECC36C6" w14:textId="77777777" w:rsidR="003F1A37" w:rsidRDefault="003F1A37" w:rsidP="003F1A37">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Examine rapidamente a documentação do ISO/IEC 27001.</w:t>
      </w:r>
    </w:p>
    <w:p w14:paraId="3B5E1BAD" w14:textId="77777777" w:rsidR="003F1A37" w:rsidRDefault="003F1A37" w:rsidP="003F1A37">
      <w:pPr>
        <w:pStyle w:val="NormalWeb"/>
        <w:shd w:val="clear" w:color="auto" w:fill="FFFFFF"/>
        <w:ind w:left="1290"/>
        <w:rPr>
          <w:rFonts w:ascii="Segoe UI" w:hAnsi="Segoe UI" w:cs="Segoe UI"/>
          <w:color w:val="171717"/>
        </w:rPr>
      </w:pPr>
      <w:r>
        <w:rPr>
          <w:rFonts w:ascii="Segoe UI" w:hAnsi="Segoe UI" w:cs="Segoe UI"/>
          <w:color w:val="171717"/>
        </w:rPr>
        <w:t>Você verá:</w:t>
      </w:r>
    </w:p>
    <w:p w14:paraId="24589C35" w14:textId="77777777" w:rsidR="003F1A37" w:rsidRDefault="003F1A37" w:rsidP="003F1A37">
      <w:pPr>
        <w:numPr>
          <w:ilvl w:val="1"/>
          <w:numId w:val="8"/>
        </w:numPr>
        <w:shd w:val="clear" w:color="auto" w:fill="FFFFFF"/>
        <w:spacing w:after="0" w:line="240" w:lineRule="auto"/>
        <w:ind w:left="2580"/>
        <w:rPr>
          <w:rFonts w:ascii="Segoe UI" w:hAnsi="Segoe UI" w:cs="Segoe UI"/>
          <w:color w:val="171717"/>
        </w:rPr>
      </w:pPr>
      <w:r>
        <w:rPr>
          <w:rFonts w:ascii="Segoe UI" w:hAnsi="Segoe UI" w:cs="Segoe UI"/>
          <w:color w:val="171717"/>
        </w:rPr>
        <w:t>Uma visão geral do padrão.</w:t>
      </w:r>
    </w:p>
    <w:p w14:paraId="766D675B" w14:textId="77777777" w:rsidR="003F1A37" w:rsidRDefault="003F1A37" w:rsidP="003F1A37">
      <w:pPr>
        <w:numPr>
          <w:ilvl w:val="1"/>
          <w:numId w:val="8"/>
        </w:numPr>
        <w:shd w:val="clear" w:color="auto" w:fill="FFFFFF"/>
        <w:spacing w:after="0" w:line="240" w:lineRule="auto"/>
        <w:ind w:left="2580"/>
        <w:rPr>
          <w:rFonts w:ascii="Segoe UI" w:hAnsi="Segoe UI" w:cs="Segoe UI"/>
          <w:color w:val="171717"/>
        </w:rPr>
      </w:pPr>
      <w:r>
        <w:rPr>
          <w:rFonts w:ascii="Segoe UI" w:hAnsi="Segoe UI" w:cs="Segoe UI"/>
          <w:color w:val="171717"/>
        </w:rPr>
        <w:t>Quais serviços de nuvem fazem parte do escopo.</w:t>
      </w:r>
    </w:p>
    <w:p w14:paraId="5E23008C" w14:textId="77777777" w:rsidR="003F1A37" w:rsidRDefault="003F1A37" w:rsidP="003F1A37">
      <w:pPr>
        <w:numPr>
          <w:ilvl w:val="1"/>
          <w:numId w:val="8"/>
        </w:numPr>
        <w:shd w:val="clear" w:color="auto" w:fill="FFFFFF"/>
        <w:spacing w:after="0" w:line="240" w:lineRule="auto"/>
        <w:ind w:left="2580"/>
        <w:rPr>
          <w:rFonts w:ascii="Segoe UI" w:hAnsi="Segoe UI" w:cs="Segoe UI"/>
          <w:color w:val="171717"/>
        </w:rPr>
      </w:pPr>
      <w:r>
        <w:rPr>
          <w:rFonts w:ascii="Segoe UI" w:hAnsi="Segoe UI" w:cs="Segoe UI"/>
          <w:color w:val="171717"/>
        </w:rPr>
        <w:t>Uma visão geral do ciclo de auditoria e links para relatórios de auditoria.</w:t>
      </w:r>
    </w:p>
    <w:p w14:paraId="7FD8E9AD" w14:textId="77777777" w:rsidR="003F1A37" w:rsidRDefault="003F1A37" w:rsidP="003F1A37">
      <w:pPr>
        <w:numPr>
          <w:ilvl w:val="1"/>
          <w:numId w:val="8"/>
        </w:numPr>
        <w:shd w:val="clear" w:color="auto" w:fill="FFFFFF"/>
        <w:spacing w:after="0" w:line="240" w:lineRule="auto"/>
        <w:ind w:left="2580"/>
        <w:rPr>
          <w:rFonts w:ascii="Segoe UI" w:hAnsi="Segoe UI" w:cs="Segoe UI"/>
          <w:color w:val="171717"/>
        </w:rPr>
      </w:pPr>
      <w:r>
        <w:rPr>
          <w:rFonts w:ascii="Segoe UI" w:hAnsi="Segoe UI" w:cs="Segoe UI"/>
          <w:color w:val="171717"/>
        </w:rPr>
        <w:t>Respostas para perguntas frequentes.</w:t>
      </w:r>
    </w:p>
    <w:p w14:paraId="3F89847D" w14:textId="77777777" w:rsidR="003F1A37" w:rsidRDefault="003F1A37" w:rsidP="003F1A37">
      <w:pPr>
        <w:numPr>
          <w:ilvl w:val="1"/>
          <w:numId w:val="8"/>
        </w:numPr>
        <w:shd w:val="clear" w:color="auto" w:fill="FFFFFF"/>
        <w:spacing w:after="0" w:line="240" w:lineRule="auto"/>
        <w:ind w:left="2580"/>
        <w:rPr>
          <w:rFonts w:ascii="Segoe UI" w:hAnsi="Segoe UI" w:cs="Segoe UI"/>
          <w:color w:val="171717"/>
        </w:rPr>
      </w:pPr>
      <w:r>
        <w:rPr>
          <w:rFonts w:ascii="Segoe UI" w:hAnsi="Segoe UI" w:cs="Segoe UI"/>
          <w:color w:val="171717"/>
        </w:rPr>
        <w:t>White papers e recursos adicionais.</w:t>
      </w:r>
    </w:p>
    <w:p w14:paraId="19AC85F4" w14:textId="77777777" w:rsidR="003F1A37" w:rsidRDefault="003F1A37" w:rsidP="003F1A37">
      <w:pPr>
        <w:pStyle w:val="NormalWeb"/>
        <w:shd w:val="clear" w:color="auto" w:fill="FFFFFF"/>
        <w:ind w:left="1290"/>
        <w:rPr>
          <w:rFonts w:ascii="Segoe UI" w:hAnsi="Segoe UI" w:cs="Segoe UI"/>
          <w:color w:val="171717"/>
        </w:rPr>
      </w:pPr>
      <w:r>
        <w:rPr>
          <w:rFonts w:ascii="Segoe UI" w:hAnsi="Segoe UI" w:cs="Segoe UI"/>
          <w:color w:val="171717"/>
        </w:rPr>
        <w:t>As áreas de documentação de outras ofertas de conformidade variam, mas esse é o formato típico que você encontrará.</w:t>
      </w:r>
    </w:p>
    <w:p w14:paraId="29DE6B48" w14:textId="7961B23F" w:rsidR="00E67572" w:rsidRDefault="00E67572" w:rsidP="004F0204"/>
    <w:p w14:paraId="34002701" w14:textId="04E51E9E" w:rsidR="00A469EA" w:rsidRDefault="00A469EA" w:rsidP="004F0204"/>
    <w:p w14:paraId="64D4514A" w14:textId="403F5F12" w:rsidR="00A469EA" w:rsidRDefault="00A469EA" w:rsidP="004F0204"/>
    <w:p w14:paraId="24C84998" w14:textId="32BC0218" w:rsidR="00A469EA" w:rsidRDefault="00A469EA" w:rsidP="004F0204"/>
    <w:p w14:paraId="28646CC9" w14:textId="77777777" w:rsidR="00A469EA" w:rsidRDefault="00A469EA" w:rsidP="00A469EA">
      <w:pPr>
        <w:pStyle w:val="Ttulo1"/>
        <w:shd w:val="clear" w:color="auto" w:fill="FFFFFF"/>
        <w:spacing w:before="0" w:beforeAutospacing="0" w:after="0" w:afterAutospacing="0"/>
        <w:rPr>
          <w:rFonts w:ascii="Segoe UI" w:hAnsi="Segoe UI" w:cs="Segoe UI"/>
          <w:color w:val="171717"/>
        </w:rPr>
      </w:pPr>
      <w:r>
        <w:rPr>
          <w:rFonts w:ascii="Segoe UI" w:hAnsi="Segoe UI" w:cs="Segoe UI"/>
          <w:color w:val="171717"/>
        </w:rPr>
        <w:lastRenderedPageBreak/>
        <w:t>Acessar a documentação de conformidade do Azure</w:t>
      </w:r>
    </w:p>
    <w:p w14:paraId="2FAE11DE" w14:textId="77777777" w:rsidR="00A469EA" w:rsidRDefault="00A469EA" w:rsidP="00A469EA">
      <w:pPr>
        <w:shd w:val="clear" w:color="auto" w:fill="FFFFFF"/>
        <w:rPr>
          <w:rFonts w:ascii="Segoe UI" w:hAnsi="Segoe UI" w:cs="Segoe UI"/>
          <w:color w:val="171717"/>
        </w:rPr>
      </w:pPr>
      <w:r>
        <w:rPr>
          <w:rStyle w:val="visually-hidden"/>
          <w:rFonts w:ascii="docons" w:hAnsi="docons" w:cs="Segoe UI"/>
          <w:color w:val="171717"/>
          <w:sz w:val="14"/>
          <w:szCs w:val="14"/>
          <w:bdr w:val="none" w:sz="0" w:space="0" w:color="auto" w:frame="1"/>
        </w:rPr>
        <w:t>Concluído</w:t>
      </w:r>
      <w:r>
        <w:rPr>
          <w:rStyle w:val="xp-tag-xp"/>
          <w:rFonts w:ascii="Segoe UI" w:hAnsi="Segoe UI" w:cs="Segoe UI"/>
          <w:color w:val="171717"/>
          <w:sz w:val="18"/>
          <w:szCs w:val="18"/>
        </w:rPr>
        <w:t>100 XP</w:t>
      </w:r>
    </w:p>
    <w:p w14:paraId="43F049FD" w14:textId="77777777" w:rsidR="00A469EA" w:rsidRDefault="00A469EA" w:rsidP="00A469EA">
      <w:pPr>
        <w:numPr>
          <w:ilvl w:val="0"/>
          <w:numId w:val="9"/>
        </w:numPr>
        <w:shd w:val="clear" w:color="auto" w:fill="FFFFFF"/>
        <w:spacing w:after="0" w:line="240" w:lineRule="auto"/>
        <w:rPr>
          <w:rFonts w:ascii="Segoe UI" w:hAnsi="Segoe UI" w:cs="Segoe UI"/>
        </w:rPr>
      </w:pPr>
      <w:r>
        <w:rPr>
          <w:rFonts w:ascii="Segoe UI" w:hAnsi="Segoe UI" w:cs="Segoe UI"/>
        </w:rPr>
        <w:t>4 minutos</w:t>
      </w:r>
    </w:p>
    <w:p w14:paraId="74534EAA"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Aqui, você aprende a acessar a documentação detalhada sobre a conformidade e os padrões legais e regulatórios no Azure.</w:t>
      </w:r>
    </w:p>
    <w:p w14:paraId="3AFDD535"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O comércio eletrônico é uma parte importante da estratégia de vendas da Tailwind Traders. A </w:t>
      </w:r>
      <w:hyperlink r:id="rId16" w:tgtFrame="az-portal" w:history="1">
        <w:r>
          <w:rPr>
            <w:rStyle w:val="Hyperlink"/>
            <w:rFonts w:ascii="Segoe UI" w:hAnsi="Segoe UI" w:cs="Segoe UI"/>
          </w:rPr>
          <w:t>loja de varejo online</w:t>
        </w:r>
      </w:hyperlink>
      <w:r>
        <w:rPr>
          <w:rFonts w:ascii="Segoe UI" w:hAnsi="Segoe UI" w:cs="Segoe UI"/>
          <w:color w:val="171717"/>
        </w:rPr>
        <w:t> deles permite que os clientes naveguem e façam pedidos de produtos com facilidade. Normalmente, os clientes pagam com cartão de crédito, de modo que a Tailwind Traders é responsável por cumprir o DSS (Data Security Standard) do PCI (Payment Card Industry). Esse padrão global, conhecido como PCI DSS, busca evitar fraudes por meio do aumento do controle de dados de cartão de crédito. O padrão se aplica a qualquer organização que armazene, processe ou transmita dados de pagamento e de titulares de cartão.</w:t>
      </w:r>
    </w:p>
    <w:p w14:paraId="36E91910"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Você tem a tarefa de investigar se, hospedando o aplicativo de comércio eletrônico da empresa no Azure, a Tailwind Traders manteria a conformidade com o PCI DSS. Você começa pela documentação de conformidade do Azure.</w:t>
      </w:r>
    </w:p>
    <w:p w14:paraId="2773473E" w14:textId="77777777" w:rsidR="00A469EA" w:rsidRDefault="00A469EA" w:rsidP="00A469EA">
      <w:pPr>
        <w:pStyle w:val="Ttulo2"/>
        <w:shd w:val="clear" w:color="auto" w:fill="FFFFFF"/>
        <w:spacing w:before="480" w:after="180"/>
        <w:rPr>
          <w:rFonts w:ascii="Segoe UI" w:hAnsi="Segoe UI" w:cs="Segoe UI"/>
          <w:color w:val="171717"/>
        </w:rPr>
      </w:pPr>
      <w:r>
        <w:rPr>
          <w:rFonts w:ascii="Segoe UI" w:hAnsi="Segoe UI" w:cs="Segoe UI"/>
          <w:color w:val="171717"/>
        </w:rPr>
        <w:t>O que é a documentação de conformidade do Azure?</w:t>
      </w:r>
    </w:p>
    <w:p w14:paraId="0C80D37E"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A </w:t>
      </w:r>
      <w:hyperlink r:id="rId17" w:tgtFrame="az-portal" w:history="1">
        <w:r>
          <w:rPr>
            <w:rStyle w:val="Hyperlink"/>
            <w:rFonts w:ascii="Segoe UI" w:hAnsi="Segoe UI" w:cs="Segoe UI"/>
          </w:rPr>
          <w:t>documentação de conformidade do Azure</w:t>
        </w:r>
      </w:hyperlink>
      <w:r>
        <w:rPr>
          <w:rFonts w:ascii="Segoe UI" w:hAnsi="Segoe UI" w:cs="Segoe UI"/>
          <w:color w:val="171717"/>
        </w:rPr>
        <w:t> fornece uma documentação detalhada sobre a conformidade e os padrões legais e regulatórios no Azure.</w:t>
      </w:r>
    </w:p>
    <w:p w14:paraId="453E4491"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Aqui, você encontra ofertas de conformidade nestas categorias:</w:t>
      </w:r>
    </w:p>
    <w:p w14:paraId="00D94692" w14:textId="77777777" w:rsidR="00A469EA" w:rsidRDefault="00A469EA" w:rsidP="00A469EA">
      <w:pPr>
        <w:numPr>
          <w:ilvl w:val="0"/>
          <w:numId w:val="10"/>
        </w:numPr>
        <w:shd w:val="clear" w:color="auto" w:fill="FFFFFF"/>
        <w:spacing w:after="0" w:line="240" w:lineRule="auto"/>
        <w:ind w:left="1290"/>
        <w:rPr>
          <w:rFonts w:ascii="Segoe UI" w:hAnsi="Segoe UI" w:cs="Segoe UI"/>
          <w:color w:val="171717"/>
        </w:rPr>
      </w:pPr>
      <w:r>
        <w:rPr>
          <w:rFonts w:ascii="Segoe UI" w:hAnsi="Segoe UI" w:cs="Segoe UI"/>
          <w:color w:val="171717"/>
        </w:rPr>
        <w:t>Global</w:t>
      </w:r>
    </w:p>
    <w:p w14:paraId="2A7504FD" w14:textId="77777777" w:rsidR="00A469EA" w:rsidRDefault="00A469EA" w:rsidP="00A469EA">
      <w:pPr>
        <w:numPr>
          <w:ilvl w:val="0"/>
          <w:numId w:val="10"/>
        </w:numPr>
        <w:shd w:val="clear" w:color="auto" w:fill="FFFFFF"/>
        <w:spacing w:after="0" w:line="240" w:lineRule="auto"/>
        <w:ind w:left="1290"/>
        <w:rPr>
          <w:rFonts w:ascii="Segoe UI" w:hAnsi="Segoe UI" w:cs="Segoe UI"/>
          <w:color w:val="171717"/>
        </w:rPr>
      </w:pPr>
      <w:r>
        <w:rPr>
          <w:rFonts w:ascii="Segoe UI" w:hAnsi="Segoe UI" w:cs="Segoe UI"/>
          <w:color w:val="171717"/>
        </w:rPr>
        <w:t>Governo dos EUA</w:t>
      </w:r>
    </w:p>
    <w:p w14:paraId="664D2F5B" w14:textId="77777777" w:rsidR="00A469EA" w:rsidRDefault="00A469EA" w:rsidP="00A469EA">
      <w:pPr>
        <w:numPr>
          <w:ilvl w:val="0"/>
          <w:numId w:val="10"/>
        </w:numPr>
        <w:shd w:val="clear" w:color="auto" w:fill="FFFFFF"/>
        <w:spacing w:after="0" w:line="240" w:lineRule="auto"/>
        <w:ind w:left="1290"/>
        <w:rPr>
          <w:rFonts w:ascii="Segoe UI" w:hAnsi="Segoe UI" w:cs="Segoe UI"/>
          <w:color w:val="171717"/>
        </w:rPr>
      </w:pPr>
      <w:r>
        <w:rPr>
          <w:rFonts w:ascii="Segoe UI" w:hAnsi="Segoe UI" w:cs="Segoe UI"/>
          <w:color w:val="171717"/>
        </w:rPr>
        <w:t>Serviços financeiros</w:t>
      </w:r>
    </w:p>
    <w:p w14:paraId="3A1EAC69" w14:textId="77777777" w:rsidR="00A469EA" w:rsidRDefault="00A469EA" w:rsidP="00A469EA">
      <w:pPr>
        <w:numPr>
          <w:ilvl w:val="0"/>
          <w:numId w:val="10"/>
        </w:numPr>
        <w:shd w:val="clear" w:color="auto" w:fill="FFFFFF"/>
        <w:spacing w:after="0" w:line="240" w:lineRule="auto"/>
        <w:ind w:left="1290"/>
        <w:rPr>
          <w:rFonts w:ascii="Segoe UI" w:hAnsi="Segoe UI" w:cs="Segoe UI"/>
          <w:color w:val="171717"/>
        </w:rPr>
      </w:pPr>
      <w:r>
        <w:rPr>
          <w:rFonts w:ascii="Segoe UI" w:hAnsi="Segoe UI" w:cs="Segoe UI"/>
          <w:color w:val="171717"/>
        </w:rPr>
        <w:t>Saúde</w:t>
      </w:r>
    </w:p>
    <w:p w14:paraId="45C8FAFB" w14:textId="77777777" w:rsidR="00A469EA" w:rsidRDefault="00A469EA" w:rsidP="00A469EA">
      <w:pPr>
        <w:numPr>
          <w:ilvl w:val="0"/>
          <w:numId w:val="10"/>
        </w:numPr>
        <w:shd w:val="clear" w:color="auto" w:fill="FFFFFF"/>
        <w:spacing w:after="0" w:line="240" w:lineRule="auto"/>
        <w:ind w:left="1290"/>
        <w:rPr>
          <w:rFonts w:ascii="Segoe UI" w:hAnsi="Segoe UI" w:cs="Segoe UI"/>
          <w:color w:val="171717"/>
        </w:rPr>
      </w:pPr>
      <w:r>
        <w:rPr>
          <w:rFonts w:ascii="Segoe UI" w:hAnsi="Segoe UI" w:cs="Segoe UI"/>
          <w:color w:val="171717"/>
        </w:rPr>
        <w:t>Mídia e manufatura</w:t>
      </w:r>
    </w:p>
    <w:p w14:paraId="4A5149EC" w14:textId="77777777" w:rsidR="00A469EA" w:rsidRDefault="00A469EA" w:rsidP="00A469EA">
      <w:pPr>
        <w:numPr>
          <w:ilvl w:val="0"/>
          <w:numId w:val="10"/>
        </w:numPr>
        <w:shd w:val="clear" w:color="auto" w:fill="FFFFFF"/>
        <w:spacing w:after="0" w:line="240" w:lineRule="auto"/>
        <w:ind w:left="1290"/>
        <w:rPr>
          <w:rFonts w:ascii="Segoe UI" w:hAnsi="Segoe UI" w:cs="Segoe UI"/>
          <w:color w:val="171717"/>
        </w:rPr>
      </w:pPr>
      <w:r>
        <w:rPr>
          <w:rFonts w:ascii="Segoe UI" w:hAnsi="Segoe UI" w:cs="Segoe UI"/>
          <w:color w:val="171717"/>
        </w:rPr>
        <w:t>Regional</w:t>
      </w:r>
    </w:p>
    <w:p w14:paraId="2B8DBB4D"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Também há recursos de conformidade adicionais, como relatórios de auditoria, informações de privacidade, mapeamentos e implementações de conformidade e white papers e relatórios de analistas. Diretrizes de privacidade e de conformidade de países e regiões também estão incluídas. Alguns recursos podem exigir que você esteja conectado ao serviço de nuvem para acessá-los.</w:t>
      </w:r>
    </w:p>
    <w:p w14:paraId="77574745" w14:textId="77777777" w:rsidR="00A469EA" w:rsidRDefault="00A469EA" w:rsidP="00A469EA">
      <w:pPr>
        <w:pStyle w:val="Ttulo2"/>
        <w:shd w:val="clear" w:color="auto" w:fill="FFFFFF"/>
        <w:spacing w:before="480" w:after="180"/>
        <w:rPr>
          <w:rFonts w:ascii="Segoe UI" w:hAnsi="Segoe UI" w:cs="Segoe UI"/>
          <w:color w:val="171717"/>
        </w:rPr>
      </w:pPr>
      <w:r>
        <w:rPr>
          <w:rFonts w:ascii="Segoe UI" w:hAnsi="Segoe UI" w:cs="Segoe UI"/>
          <w:color w:val="171717"/>
        </w:rPr>
        <w:lastRenderedPageBreak/>
        <w:t>Examinar a conformidade com o PCI DSS</w:t>
      </w:r>
    </w:p>
    <w:p w14:paraId="6A561B26"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A equipe jurídica da Tailwind Traders quer saber mais sobre como o PCI DSS está relacionado ao aplicativo de comércio eletrônico da empresa no Azure.</w:t>
      </w:r>
    </w:p>
    <w:p w14:paraId="045C6F07"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Acompanhe o processo a seguir como um exercício opcional.</w:t>
      </w:r>
    </w:p>
    <w:p w14:paraId="691C1A6F" w14:textId="77777777" w:rsidR="00A469EA" w:rsidRDefault="00A469EA" w:rsidP="00A469EA">
      <w:pPr>
        <w:pStyle w:val="NormalWeb"/>
        <w:numPr>
          <w:ilvl w:val="0"/>
          <w:numId w:val="11"/>
        </w:numPr>
        <w:shd w:val="clear" w:color="auto" w:fill="FFFFFF"/>
        <w:ind w:left="1290"/>
        <w:rPr>
          <w:rFonts w:ascii="Segoe UI" w:hAnsi="Segoe UI" w:cs="Segoe UI"/>
          <w:color w:val="171717"/>
        </w:rPr>
      </w:pPr>
      <w:r>
        <w:rPr>
          <w:rFonts w:ascii="Segoe UI" w:hAnsi="Segoe UI" w:cs="Segoe UI"/>
          <w:color w:val="171717"/>
        </w:rPr>
        <w:t>Vá até a </w:t>
      </w:r>
      <w:hyperlink r:id="rId18" w:tgtFrame="az-portal" w:history="1">
        <w:r>
          <w:rPr>
            <w:rStyle w:val="Hyperlink"/>
            <w:rFonts w:ascii="Segoe UI" w:hAnsi="Segoe UI" w:cs="Segoe UI"/>
          </w:rPr>
          <w:t>documentação de conformidade do Azure</w:t>
        </w:r>
      </w:hyperlink>
      <w:r>
        <w:rPr>
          <w:rFonts w:ascii="Segoe UI" w:hAnsi="Segoe UI" w:cs="Segoe UI"/>
          <w:color w:val="171717"/>
        </w:rPr>
        <w:t>.</w:t>
      </w:r>
    </w:p>
    <w:p w14:paraId="762F0BAF" w14:textId="77777777" w:rsidR="00A469EA" w:rsidRDefault="00A469EA" w:rsidP="00A469EA">
      <w:pPr>
        <w:pStyle w:val="NormalWeb"/>
        <w:numPr>
          <w:ilvl w:val="0"/>
          <w:numId w:val="11"/>
        </w:numPr>
        <w:shd w:val="clear" w:color="auto" w:fill="FFFFFF"/>
        <w:ind w:left="1290"/>
        <w:rPr>
          <w:rFonts w:ascii="Segoe UI" w:hAnsi="Segoe UI" w:cs="Segoe UI"/>
          <w:color w:val="171717"/>
        </w:rPr>
      </w:pPr>
      <w:r>
        <w:rPr>
          <w:rFonts w:ascii="Segoe UI" w:hAnsi="Segoe UI" w:cs="Segoe UI"/>
          <w:color w:val="171717"/>
        </w:rPr>
        <w:t>Em </w:t>
      </w:r>
      <w:r>
        <w:rPr>
          <w:rStyle w:val="Forte"/>
          <w:rFonts w:ascii="Segoe UI" w:hAnsi="Segoe UI" w:cs="Segoe UI"/>
          <w:color w:val="171717"/>
        </w:rPr>
        <w:t>Serviços financeiros</w:t>
      </w:r>
      <w:r>
        <w:rPr>
          <w:rFonts w:ascii="Segoe UI" w:hAnsi="Segoe UI" w:cs="Segoe UI"/>
          <w:color w:val="171717"/>
        </w:rPr>
        <w:t>, selecione </w:t>
      </w:r>
      <w:r>
        <w:rPr>
          <w:rStyle w:val="Forte"/>
          <w:rFonts w:ascii="Segoe UI" w:hAnsi="Segoe UI" w:cs="Segoe UI"/>
          <w:color w:val="171717"/>
        </w:rPr>
        <w:t>PCI DSS</w:t>
      </w:r>
      <w:r>
        <w:rPr>
          <w:rFonts w:ascii="Segoe UI" w:hAnsi="Segoe UI" w:cs="Segoe UI"/>
          <w:color w:val="171717"/>
        </w:rPr>
        <w:t>.</w:t>
      </w:r>
    </w:p>
    <w:p w14:paraId="05E01FFB" w14:textId="52D215FA" w:rsidR="00A469EA" w:rsidRDefault="00A469EA" w:rsidP="00A469EA">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3A4387E5" wp14:editId="5DAD0CD4">
            <wp:extent cx="1962150" cy="3305175"/>
            <wp:effectExtent l="0" t="0" r="0" b="9525"/>
            <wp:docPr id="8" name="Imagem 8" descr="A screenshot of the Azure compliance documentation page. The financial service category is shown, and PCI DSS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the Azure compliance documentation page. The financial service category is shown, and PCI DSS is highligh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2150" cy="3305175"/>
                    </a:xfrm>
                    <a:prstGeom prst="rect">
                      <a:avLst/>
                    </a:prstGeom>
                    <a:noFill/>
                    <a:ln>
                      <a:noFill/>
                    </a:ln>
                  </pic:spPr>
                </pic:pic>
              </a:graphicData>
            </a:graphic>
          </wp:inline>
        </w:drawing>
      </w:r>
    </w:p>
    <w:p w14:paraId="023786C7" w14:textId="77777777" w:rsidR="00A469EA" w:rsidRDefault="00A469EA" w:rsidP="00A469EA">
      <w:pPr>
        <w:pStyle w:val="NormalWeb"/>
        <w:shd w:val="clear" w:color="auto" w:fill="FFFFFF"/>
        <w:ind w:left="1290"/>
        <w:rPr>
          <w:rFonts w:ascii="Segoe UI" w:hAnsi="Segoe UI" w:cs="Segoe UI"/>
          <w:color w:val="171717"/>
        </w:rPr>
      </w:pPr>
      <w:r>
        <w:rPr>
          <w:rFonts w:ascii="Segoe UI" w:hAnsi="Segoe UI" w:cs="Segoe UI"/>
          <w:color w:val="171717"/>
        </w:rPr>
        <w:t>Lá, você vê:</w:t>
      </w:r>
    </w:p>
    <w:p w14:paraId="273A2250" w14:textId="77777777" w:rsidR="00A469EA" w:rsidRDefault="00A469EA" w:rsidP="00A469EA">
      <w:pPr>
        <w:numPr>
          <w:ilvl w:val="1"/>
          <w:numId w:val="11"/>
        </w:numPr>
        <w:shd w:val="clear" w:color="auto" w:fill="FFFFFF"/>
        <w:spacing w:after="0" w:line="240" w:lineRule="auto"/>
        <w:ind w:left="2580"/>
        <w:rPr>
          <w:rFonts w:ascii="Segoe UI" w:hAnsi="Segoe UI" w:cs="Segoe UI"/>
          <w:color w:val="171717"/>
        </w:rPr>
      </w:pPr>
      <w:r>
        <w:rPr>
          <w:rFonts w:ascii="Segoe UI" w:hAnsi="Segoe UI" w:cs="Segoe UI"/>
          <w:color w:val="171717"/>
        </w:rPr>
        <w:t>Uma visão geral do padrão PCI DSS.</w:t>
      </w:r>
    </w:p>
    <w:p w14:paraId="7C431C5F" w14:textId="77777777" w:rsidR="00A469EA" w:rsidRDefault="00A469EA" w:rsidP="00A469EA">
      <w:pPr>
        <w:numPr>
          <w:ilvl w:val="1"/>
          <w:numId w:val="11"/>
        </w:numPr>
        <w:shd w:val="clear" w:color="auto" w:fill="FFFFFF"/>
        <w:spacing w:after="0" w:line="240" w:lineRule="auto"/>
        <w:ind w:left="2580"/>
        <w:rPr>
          <w:rFonts w:ascii="Segoe UI" w:hAnsi="Segoe UI" w:cs="Segoe UI"/>
          <w:color w:val="171717"/>
        </w:rPr>
      </w:pPr>
      <w:r>
        <w:rPr>
          <w:rFonts w:ascii="Segoe UI" w:hAnsi="Segoe UI" w:cs="Segoe UI"/>
          <w:color w:val="171717"/>
        </w:rPr>
        <w:t>Como o PCI DSS se aplica à Microsoft.</w:t>
      </w:r>
    </w:p>
    <w:p w14:paraId="35A45A07" w14:textId="77777777" w:rsidR="00A469EA" w:rsidRDefault="00A469EA" w:rsidP="00A469EA">
      <w:pPr>
        <w:numPr>
          <w:ilvl w:val="1"/>
          <w:numId w:val="11"/>
        </w:numPr>
        <w:shd w:val="clear" w:color="auto" w:fill="FFFFFF"/>
        <w:spacing w:after="0" w:line="240" w:lineRule="auto"/>
        <w:ind w:left="2580"/>
        <w:rPr>
          <w:rFonts w:ascii="Segoe UI" w:hAnsi="Segoe UI" w:cs="Segoe UI"/>
          <w:color w:val="171717"/>
        </w:rPr>
      </w:pPr>
      <w:r>
        <w:rPr>
          <w:rFonts w:ascii="Segoe UI" w:hAnsi="Segoe UI" w:cs="Segoe UI"/>
          <w:color w:val="171717"/>
        </w:rPr>
        <w:t>Quais serviços de nuvem fazem parte do escopo.</w:t>
      </w:r>
    </w:p>
    <w:p w14:paraId="7D1E9F92" w14:textId="77777777" w:rsidR="00A469EA" w:rsidRDefault="00A469EA" w:rsidP="00A469EA">
      <w:pPr>
        <w:numPr>
          <w:ilvl w:val="1"/>
          <w:numId w:val="11"/>
        </w:numPr>
        <w:shd w:val="clear" w:color="auto" w:fill="FFFFFF"/>
        <w:spacing w:after="0" w:line="240" w:lineRule="auto"/>
        <w:ind w:left="2580"/>
        <w:rPr>
          <w:rFonts w:ascii="Segoe UI" w:hAnsi="Segoe UI" w:cs="Segoe UI"/>
          <w:color w:val="171717"/>
        </w:rPr>
      </w:pPr>
      <w:r>
        <w:rPr>
          <w:rFonts w:ascii="Segoe UI" w:hAnsi="Segoe UI" w:cs="Segoe UI"/>
          <w:color w:val="171717"/>
        </w:rPr>
        <w:t>Uma visão geral do ciclo de auditoria.</w:t>
      </w:r>
    </w:p>
    <w:p w14:paraId="1ADCACDC" w14:textId="77777777" w:rsidR="00A469EA" w:rsidRDefault="00A469EA" w:rsidP="00A469EA">
      <w:pPr>
        <w:numPr>
          <w:ilvl w:val="1"/>
          <w:numId w:val="11"/>
        </w:numPr>
        <w:shd w:val="clear" w:color="auto" w:fill="FFFFFF"/>
        <w:spacing w:after="0" w:line="240" w:lineRule="auto"/>
        <w:ind w:left="2580"/>
        <w:rPr>
          <w:rFonts w:ascii="Segoe UI" w:hAnsi="Segoe UI" w:cs="Segoe UI"/>
          <w:color w:val="171717"/>
        </w:rPr>
      </w:pPr>
      <w:r>
        <w:rPr>
          <w:rFonts w:ascii="Segoe UI" w:hAnsi="Segoe UI" w:cs="Segoe UI"/>
          <w:color w:val="171717"/>
        </w:rPr>
        <w:t>Respostas para perguntas frequentes.</w:t>
      </w:r>
    </w:p>
    <w:p w14:paraId="1EE0417A" w14:textId="77777777" w:rsidR="00A469EA" w:rsidRDefault="00A469EA" w:rsidP="00A469EA">
      <w:pPr>
        <w:numPr>
          <w:ilvl w:val="1"/>
          <w:numId w:val="11"/>
        </w:numPr>
        <w:shd w:val="clear" w:color="auto" w:fill="FFFFFF"/>
        <w:spacing w:after="0" w:line="240" w:lineRule="auto"/>
        <w:ind w:left="2580"/>
        <w:rPr>
          <w:rFonts w:ascii="Segoe UI" w:hAnsi="Segoe UI" w:cs="Segoe UI"/>
          <w:color w:val="171717"/>
        </w:rPr>
      </w:pPr>
      <w:r>
        <w:rPr>
          <w:rFonts w:ascii="Segoe UI" w:hAnsi="Segoe UI" w:cs="Segoe UI"/>
          <w:color w:val="171717"/>
        </w:rPr>
        <w:t>White papers e recursos adicionais.</w:t>
      </w:r>
    </w:p>
    <w:p w14:paraId="1C3C98B9" w14:textId="77777777" w:rsidR="00A469EA" w:rsidRDefault="00A469EA" w:rsidP="00A469EA">
      <w:pPr>
        <w:pStyle w:val="Ttulo3"/>
        <w:shd w:val="clear" w:color="auto" w:fill="FFFFFF"/>
        <w:spacing w:before="450" w:after="270"/>
        <w:rPr>
          <w:rFonts w:ascii="Segoe UI" w:hAnsi="Segoe UI" w:cs="Segoe UI"/>
          <w:color w:val="171717"/>
        </w:rPr>
      </w:pPr>
      <w:r>
        <w:rPr>
          <w:rFonts w:ascii="Segoe UI" w:hAnsi="Segoe UI" w:cs="Segoe UI"/>
          <w:color w:val="171717"/>
        </w:rPr>
        <w:t>Acessar recursos de conformidade adicionais</w:t>
      </w:r>
    </w:p>
    <w:p w14:paraId="5BBBBBE9"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Na </w:t>
      </w:r>
      <w:hyperlink r:id="rId20" w:tgtFrame="az-portal" w:history="1">
        <w:r>
          <w:rPr>
            <w:rStyle w:val="Hyperlink"/>
            <w:rFonts w:ascii="Segoe UI" w:hAnsi="Segoe UI" w:cs="Segoe UI"/>
          </w:rPr>
          <w:t>documentação de conformidade do Azure</w:t>
        </w:r>
      </w:hyperlink>
      <w:r>
        <w:rPr>
          <w:rFonts w:ascii="Segoe UI" w:hAnsi="Segoe UI" w:cs="Segoe UI"/>
          <w:color w:val="171717"/>
        </w:rPr>
        <w:t>, você pode acessar recursos de conformidade adicionais.</w:t>
      </w:r>
    </w:p>
    <w:p w14:paraId="4C24B728"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Por exemplo, na seção </w:t>
      </w:r>
      <w:r>
        <w:rPr>
          <w:rStyle w:val="Forte"/>
          <w:rFonts w:ascii="Segoe UI" w:hAnsi="Segoe UI" w:cs="Segoe UI"/>
          <w:color w:val="171717"/>
        </w:rPr>
        <w:t>Relatórios de auditoria</w:t>
      </w:r>
      <w:r>
        <w:rPr>
          <w:rFonts w:ascii="Segoe UI" w:hAnsi="Segoe UI" w:cs="Segoe UI"/>
          <w:color w:val="171717"/>
        </w:rPr>
        <w:t>, você encontra um link para os relatórios de auditoria do </w:t>
      </w:r>
      <w:hyperlink r:id="rId21" w:tgtFrame="az-portal" w:history="1">
        <w:r>
          <w:rPr>
            <w:rStyle w:val="Hyperlink"/>
            <w:rFonts w:ascii="Segoe UI" w:hAnsi="Segoe UI" w:cs="Segoe UI"/>
          </w:rPr>
          <w:t>PCI DSS</w:t>
        </w:r>
      </w:hyperlink>
      <w:r>
        <w:rPr>
          <w:rFonts w:ascii="Segoe UI" w:hAnsi="Segoe UI" w:cs="Segoe UI"/>
          <w:color w:val="171717"/>
        </w:rPr>
        <w:t>.</w:t>
      </w:r>
    </w:p>
    <w:p w14:paraId="37934762" w14:textId="041CE090" w:rsidR="00A469EA" w:rsidRDefault="00A469EA" w:rsidP="00A469EA">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4BC13907" wp14:editId="5E3DCE36">
            <wp:extent cx="1219200" cy="2028825"/>
            <wp:effectExtent l="0" t="0" r="0" b="9525"/>
            <wp:docPr id="7" name="Imagem 7" descr="A screenshot of the Azure compliance documentation page. The audit reports section is shown, and PCI DSS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the Azure compliance documentation page. The audit reports section is shown, and PCI DSS is highligh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2028825"/>
                    </a:xfrm>
                    <a:prstGeom prst="rect">
                      <a:avLst/>
                    </a:prstGeom>
                    <a:noFill/>
                    <a:ln>
                      <a:noFill/>
                    </a:ln>
                  </pic:spPr>
                </pic:pic>
              </a:graphicData>
            </a:graphic>
          </wp:inline>
        </w:drawing>
      </w:r>
    </w:p>
    <w:p w14:paraId="282649E1"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Nessa seção, você pode acessar vários arquivos diferentes, incluindo os relatórios de Atestado de Conformidade e a Matriz de Responsabilidades Compartilhadas do PCI DSS.</w:t>
      </w:r>
    </w:p>
    <w:p w14:paraId="5FECF6F5"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Em </w:t>
      </w:r>
      <w:r>
        <w:rPr>
          <w:rStyle w:val="Forte"/>
          <w:rFonts w:ascii="Segoe UI" w:hAnsi="Segoe UI" w:cs="Segoe UI"/>
          <w:color w:val="171717"/>
        </w:rPr>
        <w:t>Blueprints de conformidade</w:t>
      </w:r>
      <w:r>
        <w:rPr>
          <w:rFonts w:ascii="Segoe UI" w:hAnsi="Segoe UI" w:cs="Segoe UI"/>
          <w:color w:val="171717"/>
        </w:rPr>
        <w:t>, você encontra blueprints de referência, ou definições de política, para padrões comuns que podem ser aplicados à sua assinatura do Azure. O blueprint do </w:t>
      </w:r>
      <w:hyperlink r:id="rId23" w:tgtFrame="az-portal" w:history="1">
        <w:r>
          <w:rPr>
            <w:rStyle w:val="Hyperlink"/>
            <w:rFonts w:ascii="Segoe UI" w:hAnsi="Segoe UI" w:cs="Segoe UI"/>
          </w:rPr>
          <w:t>PCI DSS</w:t>
        </w:r>
      </w:hyperlink>
      <w:r>
        <w:rPr>
          <w:rFonts w:ascii="Segoe UI" w:hAnsi="Segoe UI" w:cs="Segoe UI"/>
          <w:color w:val="171717"/>
        </w:rPr>
        <w:t> implanta um conjunto principal de políticas que são mapeadas para a conformidade com o PCI DSS e ajudam você a controlar suas cargas de trabalho do Azure com relação a esse padrão.</w:t>
      </w:r>
    </w:p>
    <w:p w14:paraId="20CAF404" w14:textId="7E704899" w:rsidR="00A469EA" w:rsidRDefault="00A469EA" w:rsidP="00A469EA">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4EB59D68" wp14:editId="0E4EC1DF">
            <wp:extent cx="2257425" cy="3286125"/>
            <wp:effectExtent l="0" t="0" r="9525" b="9525"/>
            <wp:docPr id="6" name="Imagem 6" descr="A screenshot of the Azure compliance documentation page. The compliance blueprints section is shown, and PCI-DSS v.3.2.1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the Azure compliance documentation page. The compliance blueprints section is shown, and PCI-DSS v.3.2.1 is highligh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425" cy="3286125"/>
                    </a:xfrm>
                    <a:prstGeom prst="rect">
                      <a:avLst/>
                    </a:prstGeom>
                    <a:noFill/>
                    <a:ln>
                      <a:noFill/>
                    </a:ln>
                  </pic:spPr>
                </pic:pic>
              </a:graphicData>
            </a:graphic>
          </wp:inline>
        </w:drawing>
      </w:r>
    </w:p>
    <w:p w14:paraId="24FFFD38"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t>Você pode, então, ver se os recursos do Azure na arquitetura de seu aplicativo foram configurados corretamente de modo a manter a conformidade com o PCI DSS ou quais recursos você precisa corrigir.</w:t>
      </w:r>
    </w:p>
    <w:p w14:paraId="0BA216ED" w14:textId="77777777" w:rsidR="00A469EA" w:rsidRDefault="00A469EA" w:rsidP="00A469EA">
      <w:pPr>
        <w:pStyle w:val="NormalWeb"/>
        <w:shd w:val="clear" w:color="auto" w:fill="FFFFFF"/>
        <w:rPr>
          <w:rFonts w:ascii="Segoe UI" w:hAnsi="Segoe UI" w:cs="Segoe UI"/>
          <w:color w:val="171717"/>
        </w:rPr>
      </w:pPr>
      <w:r>
        <w:rPr>
          <w:rFonts w:ascii="Segoe UI" w:hAnsi="Segoe UI" w:cs="Segoe UI"/>
          <w:color w:val="171717"/>
        </w:rPr>
        <w:lastRenderedPageBreak/>
        <w:t>Como os padrões evoluem, a equipe da Tailwind Traders pode verificar o relatório de auditoria periodicamente para garantir que o Azure tenha alterações recentes.</w:t>
      </w:r>
    </w:p>
    <w:p w14:paraId="3F734A46" w14:textId="77777777" w:rsidR="00D4070B" w:rsidRPr="00D4070B" w:rsidRDefault="00D4070B" w:rsidP="00D4070B">
      <w:pPr>
        <w:shd w:val="clear" w:color="auto" w:fill="FFFFFF"/>
        <w:spacing w:after="0" w:line="240" w:lineRule="auto"/>
        <w:outlineLvl w:val="0"/>
        <w:rPr>
          <w:rFonts w:ascii="Segoe UI" w:eastAsia="Times New Roman" w:hAnsi="Segoe UI" w:cs="Segoe UI"/>
          <w:b/>
          <w:bCs/>
          <w:color w:val="171717"/>
          <w:kern w:val="36"/>
          <w:sz w:val="48"/>
          <w:szCs w:val="48"/>
          <w:lang w:eastAsia="pt-BR"/>
        </w:rPr>
      </w:pPr>
      <w:r w:rsidRPr="00D4070B">
        <w:rPr>
          <w:rFonts w:ascii="Segoe UI" w:eastAsia="Times New Roman" w:hAnsi="Segoe UI" w:cs="Segoe UI"/>
          <w:b/>
          <w:bCs/>
          <w:color w:val="171717"/>
          <w:kern w:val="36"/>
          <w:sz w:val="48"/>
          <w:szCs w:val="48"/>
          <w:lang w:eastAsia="pt-BR"/>
        </w:rPr>
        <w:t>O que é o Azure Governamental?</w:t>
      </w:r>
    </w:p>
    <w:p w14:paraId="34BAD6CD" w14:textId="77777777" w:rsidR="00D4070B" w:rsidRPr="00D4070B" w:rsidRDefault="00D4070B" w:rsidP="00D4070B">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O </w:t>
      </w:r>
      <w:hyperlink r:id="rId25" w:tgtFrame="az-portal" w:history="1">
        <w:r w:rsidRPr="00D4070B">
          <w:rPr>
            <w:rFonts w:ascii="Segoe UI" w:eastAsia="Times New Roman" w:hAnsi="Segoe UI" w:cs="Segoe UI"/>
            <w:color w:val="0000FF"/>
            <w:sz w:val="24"/>
            <w:szCs w:val="24"/>
            <w:u w:val="single"/>
            <w:lang w:eastAsia="pt-BR"/>
          </w:rPr>
          <w:t>Azure Government</w:t>
        </w:r>
      </w:hyperlink>
      <w:r w:rsidRPr="00D4070B">
        <w:rPr>
          <w:rFonts w:ascii="Segoe UI" w:eastAsia="Times New Roman" w:hAnsi="Segoe UI" w:cs="Segoe UI"/>
          <w:color w:val="171717"/>
          <w:sz w:val="24"/>
          <w:szCs w:val="24"/>
          <w:lang w:eastAsia="pt-BR"/>
        </w:rPr>
        <w:t> é uma instância separada do serviço do Microsoft Azure. Ele atende às necessidades de segurança e de conformidade das agências federais dos EUA, de governos estaduais e locais e de seus provedores de soluções. O Azure Government oferece isolamento físico de implantações que não são do governo dos EUA e fornece uma equipe de TI selecionada.</w:t>
      </w:r>
    </w:p>
    <w:p w14:paraId="7ECF3EB3" w14:textId="3C668C7C" w:rsidR="00D4070B" w:rsidRPr="00D4070B" w:rsidRDefault="00D4070B" w:rsidP="00D4070B">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D4070B">
        <w:rPr>
          <w:rFonts w:ascii="Segoe UI" w:eastAsia="Times New Roman" w:hAnsi="Segoe UI" w:cs="Segoe UI"/>
          <w:noProof/>
          <w:color w:val="171717"/>
          <w:sz w:val="24"/>
          <w:szCs w:val="24"/>
          <w:lang w:eastAsia="pt-BR"/>
        </w:rPr>
        <w:drawing>
          <wp:inline distT="0" distB="0" distL="0" distR="0" wp14:anchorId="59E4F40C" wp14:editId="1A013BF9">
            <wp:extent cx="5400040" cy="3025775"/>
            <wp:effectExtent l="0" t="0" r="0" b="3175"/>
            <wp:docPr id="9" name="Imagem 9" descr="A screenshot of the Microsoft Azure Government websit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the Microsoft Azure Government website home p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25775"/>
                    </a:xfrm>
                    <a:prstGeom prst="rect">
                      <a:avLst/>
                    </a:prstGeom>
                    <a:noFill/>
                    <a:ln>
                      <a:noFill/>
                    </a:ln>
                  </pic:spPr>
                </pic:pic>
              </a:graphicData>
            </a:graphic>
          </wp:inline>
        </w:drawing>
      </w:r>
    </w:p>
    <w:p w14:paraId="6FA55D20" w14:textId="77777777" w:rsidR="00D4070B" w:rsidRPr="00D4070B" w:rsidRDefault="00D4070B" w:rsidP="00D4070B">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Os serviços do Azure Government lidam com os dados que estão sujeitos a determinadas normas e requisitos governamentais:</w:t>
      </w:r>
    </w:p>
    <w:p w14:paraId="35F27775" w14:textId="77777777" w:rsidR="00D4070B" w:rsidRPr="00D4070B" w:rsidRDefault="00D4070B" w:rsidP="00D4070B">
      <w:pPr>
        <w:numPr>
          <w:ilvl w:val="0"/>
          <w:numId w:val="13"/>
        </w:numPr>
        <w:shd w:val="clear" w:color="auto" w:fill="FFFFFF"/>
        <w:spacing w:after="0" w:line="240" w:lineRule="auto"/>
        <w:ind w:left="1290"/>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FedRAMP (Federal Risk and Authorization Management Program)</w:t>
      </w:r>
    </w:p>
    <w:p w14:paraId="31DD8D76" w14:textId="77777777" w:rsidR="00D4070B" w:rsidRPr="00D4070B" w:rsidRDefault="00D4070B" w:rsidP="00D4070B">
      <w:pPr>
        <w:numPr>
          <w:ilvl w:val="0"/>
          <w:numId w:val="13"/>
        </w:numPr>
        <w:shd w:val="clear" w:color="auto" w:fill="FFFFFF"/>
        <w:spacing w:after="0" w:line="240" w:lineRule="auto"/>
        <w:ind w:left="1290"/>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NIST (National Institute of Standards and Technology) 800.171 DIB (Defense Industrial Base)</w:t>
      </w:r>
    </w:p>
    <w:p w14:paraId="1B88A60F" w14:textId="77777777" w:rsidR="00D4070B" w:rsidRPr="00D4070B" w:rsidRDefault="00D4070B" w:rsidP="00D4070B">
      <w:pPr>
        <w:numPr>
          <w:ilvl w:val="0"/>
          <w:numId w:val="13"/>
        </w:numPr>
        <w:shd w:val="clear" w:color="auto" w:fill="FFFFFF"/>
        <w:spacing w:after="0" w:line="240" w:lineRule="auto"/>
        <w:ind w:left="1290"/>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ITAR (Regulamentos de Tráfego Internacional de Armas)</w:t>
      </w:r>
    </w:p>
    <w:p w14:paraId="64575E25" w14:textId="77777777" w:rsidR="00D4070B" w:rsidRPr="00D4070B" w:rsidRDefault="00D4070B" w:rsidP="00D4070B">
      <w:pPr>
        <w:numPr>
          <w:ilvl w:val="0"/>
          <w:numId w:val="13"/>
        </w:numPr>
        <w:shd w:val="clear" w:color="auto" w:fill="FFFFFF"/>
        <w:spacing w:after="0" w:line="240" w:lineRule="auto"/>
        <w:ind w:left="1290"/>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IRS (Receita Federal dos Estados Unidos) 1075</w:t>
      </w:r>
    </w:p>
    <w:p w14:paraId="06C3A356" w14:textId="77777777" w:rsidR="00D4070B" w:rsidRPr="00D4070B" w:rsidRDefault="00D4070B" w:rsidP="00D4070B">
      <w:pPr>
        <w:numPr>
          <w:ilvl w:val="0"/>
          <w:numId w:val="13"/>
        </w:numPr>
        <w:shd w:val="clear" w:color="auto" w:fill="FFFFFF"/>
        <w:spacing w:after="0" w:line="240" w:lineRule="auto"/>
        <w:ind w:left="1290"/>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DoD (Departamento de Defesa dos Estados Unidos) L4</w:t>
      </w:r>
    </w:p>
    <w:p w14:paraId="1A5DD151" w14:textId="77777777" w:rsidR="00D4070B" w:rsidRPr="00D4070B" w:rsidRDefault="00D4070B" w:rsidP="00D4070B">
      <w:pPr>
        <w:numPr>
          <w:ilvl w:val="0"/>
          <w:numId w:val="13"/>
        </w:numPr>
        <w:shd w:val="clear" w:color="auto" w:fill="FFFFFF"/>
        <w:spacing w:after="0" w:line="240" w:lineRule="auto"/>
        <w:ind w:left="1290"/>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CJIS (Serviço de Informações de Justiça Criminal)</w:t>
      </w:r>
    </w:p>
    <w:p w14:paraId="1C33D74F" w14:textId="77777777" w:rsidR="00D4070B" w:rsidRPr="00D4070B" w:rsidRDefault="00D4070B" w:rsidP="00D4070B">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 xml:space="preserve">Para fornecer o mais elevado nível de segurança e conformidade, o Azure Government usa redes e data centers isolados fisicamente, localizados apenas nos EUA. Os clientes do Azure Government, como os governos locais, estaduais </w:t>
      </w:r>
      <w:r w:rsidRPr="00D4070B">
        <w:rPr>
          <w:rFonts w:ascii="Segoe UI" w:eastAsia="Times New Roman" w:hAnsi="Segoe UI" w:cs="Segoe UI"/>
          <w:color w:val="171717"/>
          <w:sz w:val="24"/>
          <w:szCs w:val="24"/>
          <w:lang w:eastAsia="pt-BR"/>
        </w:rPr>
        <w:lastRenderedPageBreak/>
        <w:t>e federal dos EUA ou seus parceiros, estão sujeitos a uma validação quanto à elegibilidade.</w:t>
      </w:r>
    </w:p>
    <w:p w14:paraId="0BD7C519" w14:textId="77777777" w:rsidR="00D4070B" w:rsidRPr="00D4070B" w:rsidRDefault="00D4070B" w:rsidP="00D4070B">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O Azure Government oferece a conformidade mais ampla e tem aprovação Nível 5 do DoD dos EUA. O Azure Government está </w:t>
      </w:r>
      <w:hyperlink r:id="rId27" w:anchor="geographies?azure-portal=true" w:tgtFrame="az-portal" w:history="1">
        <w:r w:rsidRPr="00D4070B">
          <w:rPr>
            <w:rFonts w:ascii="Segoe UI" w:eastAsia="Times New Roman" w:hAnsi="Segoe UI" w:cs="Segoe UI"/>
            <w:color w:val="0000FF"/>
            <w:sz w:val="24"/>
            <w:szCs w:val="24"/>
            <w:u w:val="single"/>
            <w:lang w:eastAsia="pt-BR"/>
          </w:rPr>
          <w:t>disponível em oito geografias</w:t>
        </w:r>
      </w:hyperlink>
      <w:r w:rsidRPr="00D4070B">
        <w:rPr>
          <w:rFonts w:ascii="Segoe UI" w:eastAsia="Times New Roman" w:hAnsi="Segoe UI" w:cs="Segoe UI"/>
          <w:color w:val="171717"/>
          <w:sz w:val="24"/>
          <w:szCs w:val="24"/>
          <w:lang w:eastAsia="pt-BR"/>
        </w:rPr>
        <w:t> e oferece mais certificações de conformidade do que qualquer provedor de nuvem.</w:t>
      </w:r>
    </w:p>
    <w:p w14:paraId="7ED1E870" w14:textId="77777777" w:rsidR="00D4070B" w:rsidRDefault="00D4070B" w:rsidP="00D4070B">
      <w:pPr>
        <w:pStyle w:val="Ttulo1"/>
        <w:shd w:val="clear" w:color="auto" w:fill="FFFFFF"/>
        <w:spacing w:before="0" w:beforeAutospacing="0" w:after="0" w:afterAutospacing="0"/>
        <w:rPr>
          <w:rFonts w:ascii="Segoe UI" w:hAnsi="Segoe UI" w:cs="Segoe UI"/>
          <w:color w:val="171717"/>
        </w:rPr>
      </w:pPr>
      <w:r>
        <w:rPr>
          <w:rFonts w:ascii="Segoe UI" w:hAnsi="Segoe UI" w:cs="Segoe UI"/>
          <w:color w:val="171717"/>
        </w:rPr>
        <w:t>O que é o Azure China 21Vianet?</w:t>
      </w:r>
    </w:p>
    <w:p w14:paraId="57CF6EC4" w14:textId="77777777" w:rsidR="00D4070B" w:rsidRDefault="00D4070B" w:rsidP="00D4070B">
      <w:pPr>
        <w:pStyle w:val="NormalWeb"/>
        <w:shd w:val="clear" w:color="auto" w:fill="FFFFFF"/>
        <w:rPr>
          <w:rFonts w:ascii="Segoe UI" w:hAnsi="Segoe UI" w:cs="Segoe UI"/>
          <w:color w:val="171717"/>
        </w:rPr>
      </w:pPr>
      <w:r>
        <w:rPr>
          <w:rFonts w:ascii="Segoe UI" w:hAnsi="Segoe UI" w:cs="Segoe UI"/>
          <w:color w:val="171717"/>
        </w:rPr>
        <w:t>A </w:t>
      </w:r>
      <w:hyperlink r:id="rId28" w:tgtFrame="az-portal" w:history="1">
        <w:r>
          <w:rPr>
            <w:rStyle w:val="Hyperlink"/>
            <w:rFonts w:ascii="Segoe UI" w:hAnsi="Segoe UI" w:cs="Segoe UI"/>
          </w:rPr>
          <w:t>Azure China 21Vianet</w:t>
        </w:r>
      </w:hyperlink>
      <w:r>
        <w:rPr>
          <w:rFonts w:ascii="Segoe UI" w:hAnsi="Segoe UI" w:cs="Segoe UI"/>
          <w:color w:val="171717"/>
        </w:rPr>
        <w:t> é operada pela 21Vianet. Trata-se de uma instância fisicamente separada dos serviços de nuvem localizados na China. O Azure China 21Vianet é operado e administrado de maneira independente pela Xangai Blue Cloud Technology Co., Ltd. ("21Vianet"), uma subsidiária de propriedade total Beijing 21Vianet Broadband Data Center Co., Ltd.</w:t>
      </w:r>
    </w:p>
    <w:p w14:paraId="4BD940E0" w14:textId="77777777" w:rsidR="00D4070B" w:rsidRDefault="00D4070B" w:rsidP="00D4070B">
      <w:pPr>
        <w:pStyle w:val="NormalWeb"/>
        <w:shd w:val="clear" w:color="auto" w:fill="FFFFFF"/>
        <w:rPr>
          <w:rFonts w:ascii="Segoe UI" w:hAnsi="Segoe UI" w:cs="Segoe UI"/>
          <w:color w:val="171717"/>
        </w:rPr>
      </w:pPr>
      <w:r>
        <w:rPr>
          <w:rFonts w:ascii="Segoe UI" w:hAnsi="Segoe UI" w:cs="Segoe UI"/>
          <w:color w:val="171717"/>
        </w:rPr>
        <w:t>De acordo com a Regulamentação de Telecomunicação da China, os provedores de serviços de nuvem, IaaS (infraestrutura como serviço) e PaaS (plataforma como serviço) precisam ter permissões de telecomunicação de valor agregado. Somente empresas registradas localmente com menos de 50% de investimento estrangeiro se qualificam para essas permissões. Para obedecer essa regulamentação, o serviço do Azure na China é operado pela 21Vianet, com base nas tecnologias licenciadas da Microsoft.</w:t>
      </w:r>
    </w:p>
    <w:p w14:paraId="689AABE3" w14:textId="5922BDDD" w:rsidR="00D4070B" w:rsidRDefault="00D4070B" w:rsidP="00D4070B">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6E885280" wp14:editId="075EC11A">
            <wp:extent cx="5400040" cy="2493010"/>
            <wp:effectExtent l="0" t="0" r="0" b="2540"/>
            <wp:docPr id="10" name="Imagem 10" descr="A screenshot of the Microsoft Azure China websit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the Microsoft Azure China website home 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493010"/>
                    </a:xfrm>
                    <a:prstGeom prst="rect">
                      <a:avLst/>
                    </a:prstGeom>
                    <a:noFill/>
                    <a:ln>
                      <a:noFill/>
                    </a:ln>
                  </pic:spPr>
                </pic:pic>
              </a:graphicData>
            </a:graphic>
          </wp:inline>
        </w:drawing>
      </w:r>
    </w:p>
    <w:p w14:paraId="10C10D7E" w14:textId="77777777" w:rsidR="00D4070B" w:rsidRDefault="00D4070B" w:rsidP="00D4070B">
      <w:pPr>
        <w:pStyle w:val="NormalWeb"/>
        <w:shd w:val="clear" w:color="auto" w:fill="FFFFFF"/>
        <w:rPr>
          <w:rFonts w:ascii="Segoe UI" w:hAnsi="Segoe UI" w:cs="Segoe UI"/>
          <w:color w:val="171717"/>
        </w:rPr>
      </w:pPr>
      <w:r>
        <w:rPr>
          <w:rFonts w:ascii="Segoe UI" w:hAnsi="Segoe UI" w:cs="Segoe UI"/>
          <w:color w:val="171717"/>
        </w:rPr>
        <w:t>Como o primeiro provedor de serviços de nuvem pública estrangeiro oferecido na China em conformidade com os regulamentos governamentais, o Azure China 21Vianet fornece segurança de nível mundial, conforme tratado na Central de Confiabilidade e conforme exigido pelas regulamentações chinesas, para todos os sistemas e aplicativos criados em sua arquitetura.</w:t>
      </w:r>
    </w:p>
    <w:p w14:paraId="592F4F12" w14:textId="77777777" w:rsidR="00D4070B" w:rsidRDefault="00D4070B" w:rsidP="00D4070B">
      <w:pPr>
        <w:pStyle w:val="Ttulo2"/>
        <w:shd w:val="clear" w:color="auto" w:fill="FFFFFF"/>
        <w:spacing w:before="480" w:after="180"/>
        <w:rPr>
          <w:rFonts w:ascii="Segoe UI" w:hAnsi="Segoe UI" w:cs="Segoe UI"/>
          <w:color w:val="171717"/>
        </w:rPr>
      </w:pPr>
      <w:r>
        <w:rPr>
          <w:rFonts w:ascii="Segoe UI" w:hAnsi="Segoe UI" w:cs="Segoe UI"/>
          <w:color w:val="171717"/>
        </w:rPr>
        <w:lastRenderedPageBreak/>
        <w:t>Produtos e serviços do Azure disponíveis na China</w:t>
      </w:r>
    </w:p>
    <w:p w14:paraId="06F95D81" w14:textId="77777777" w:rsidR="00D4070B" w:rsidRDefault="00D4070B" w:rsidP="00D4070B">
      <w:pPr>
        <w:pStyle w:val="NormalWeb"/>
        <w:shd w:val="clear" w:color="auto" w:fill="FFFFFF"/>
        <w:rPr>
          <w:rFonts w:ascii="Segoe UI" w:hAnsi="Segoe UI" w:cs="Segoe UI"/>
          <w:color w:val="171717"/>
        </w:rPr>
      </w:pPr>
      <w:r>
        <w:rPr>
          <w:rFonts w:ascii="Segoe UI" w:hAnsi="Segoe UI" w:cs="Segoe UI"/>
          <w:color w:val="171717"/>
        </w:rPr>
        <w:t>Os serviços do Azure são baseados nas mesmas tecnologias do Azure, do Office 365 e do Power BI que compõem o serviço de nuvem global da Microsoft, com níveis de serviço comparáveis. Os acordos e contratos do Azure na China, onde aplicável, são assinados entre os clientes e a 21Vianet.</w:t>
      </w:r>
    </w:p>
    <w:p w14:paraId="2784C9EC" w14:textId="77777777" w:rsidR="00D4070B" w:rsidRDefault="00D4070B" w:rsidP="00D4070B">
      <w:pPr>
        <w:pStyle w:val="NormalWeb"/>
        <w:shd w:val="clear" w:color="auto" w:fill="FFFFFF"/>
        <w:rPr>
          <w:rFonts w:ascii="Segoe UI" w:hAnsi="Segoe UI" w:cs="Segoe UI"/>
          <w:color w:val="171717"/>
        </w:rPr>
      </w:pPr>
      <w:r>
        <w:rPr>
          <w:rFonts w:ascii="Segoe UI" w:hAnsi="Segoe UI" w:cs="Segoe UI"/>
          <w:color w:val="171717"/>
        </w:rPr>
        <w:t>O Azure inclui os principais componentes de IaaS, PaaS e SaaS (software como serviço). Esses componentes incluem serviços de rede, armazenamento, gerenciamento de dados e gerenciamento de identidades, entre muitos outros.</w:t>
      </w:r>
    </w:p>
    <w:p w14:paraId="2C433515" w14:textId="77777777" w:rsidR="00D4070B" w:rsidRDefault="00D4070B" w:rsidP="00D4070B">
      <w:pPr>
        <w:pStyle w:val="NormalWeb"/>
        <w:shd w:val="clear" w:color="auto" w:fill="FFFFFF"/>
        <w:rPr>
          <w:rFonts w:ascii="Segoe UI" w:hAnsi="Segoe UI" w:cs="Segoe UI"/>
          <w:color w:val="171717"/>
        </w:rPr>
      </w:pPr>
      <w:r>
        <w:rPr>
          <w:rFonts w:ascii="Segoe UI" w:hAnsi="Segoe UI" w:cs="Segoe UI"/>
          <w:color w:val="171717"/>
        </w:rPr>
        <w:t>O Azure China 21Vianet dá suporte à maioria dos mesmos serviços que o Azure global tem, como a replicação de dados geossíncrona e o dimensionamento automático. Mesmo que você já use os serviços globais do Azure, para operar na China talvez seja necessário hospedar novamente ou refatorar alguns de seus aplicativos ou serviços, ou todos eles.</w:t>
      </w:r>
    </w:p>
    <w:p w14:paraId="4B413CD4" w14:textId="77777777" w:rsidR="00D4070B" w:rsidRPr="00D4070B" w:rsidRDefault="00D4070B" w:rsidP="00D4070B">
      <w:pPr>
        <w:shd w:val="clear" w:color="auto" w:fill="FFFFFF"/>
        <w:spacing w:after="0" w:line="240" w:lineRule="auto"/>
        <w:outlineLvl w:val="0"/>
        <w:rPr>
          <w:rFonts w:ascii="Segoe UI" w:eastAsia="Times New Roman" w:hAnsi="Segoe UI" w:cs="Segoe UI"/>
          <w:b/>
          <w:bCs/>
          <w:color w:val="171717"/>
          <w:kern w:val="36"/>
          <w:sz w:val="48"/>
          <w:szCs w:val="48"/>
          <w:lang w:eastAsia="pt-BR"/>
        </w:rPr>
      </w:pPr>
      <w:r w:rsidRPr="00D4070B">
        <w:rPr>
          <w:rFonts w:ascii="Segoe UI" w:eastAsia="Times New Roman" w:hAnsi="Segoe UI" w:cs="Segoe UI"/>
          <w:b/>
          <w:bCs/>
          <w:color w:val="171717"/>
          <w:kern w:val="36"/>
          <w:sz w:val="48"/>
          <w:szCs w:val="48"/>
          <w:lang w:eastAsia="pt-BR"/>
        </w:rPr>
        <w:t>Verificação de conhecimentos</w:t>
      </w:r>
    </w:p>
    <w:p w14:paraId="544BB214" w14:textId="77777777" w:rsidR="00D4070B" w:rsidRPr="00D4070B" w:rsidRDefault="00D4070B" w:rsidP="00D4070B">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Considere este cenário.</w:t>
      </w:r>
    </w:p>
    <w:p w14:paraId="76FB8713" w14:textId="77777777" w:rsidR="00D4070B" w:rsidRPr="00D4070B" w:rsidRDefault="00D4070B" w:rsidP="00D4070B">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Na Tailwind Traders, os departamentos jurídico e de TI desejam entender melhor como a Microsoft lida com informações pessoais. Eles também querem entender melhor como os serviços do Azure podem ajudá-los a cumprir suas metas de conformidade.</w:t>
      </w:r>
    </w:p>
    <w:p w14:paraId="2A79CDA1" w14:textId="77777777" w:rsidR="00D4070B" w:rsidRPr="00D4070B" w:rsidRDefault="00D4070B" w:rsidP="00D4070B">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As necessidades deles vão além do Azure. Por exemplo, os aplicativos em seus lojas de varejo usam a Cortana para ajudar os funcionários das lojas a localizar os itens rapidamente.</w:t>
      </w:r>
    </w:p>
    <w:p w14:paraId="1DD2585B" w14:textId="77777777" w:rsidR="00D4070B" w:rsidRPr="00D4070B" w:rsidRDefault="00D4070B" w:rsidP="00D4070B">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D4070B">
        <w:rPr>
          <w:rFonts w:ascii="Segoe UI" w:eastAsia="Times New Roman" w:hAnsi="Segoe UI" w:cs="Segoe UI"/>
          <w:color w:val="171717"/>
          <w:sz w:val="24"/>
          <w:szCs w:val="24"/>
          <w:lang w:eastAsia="pt-BR"/>
        </w:rPr>
        <w:t>Escolha a melhor resposta para cada pergunta. Em seguida, selecione </w:t>
      </w:r>
      <w:r w:rsidRPr="00D4070B">
        <w:rPr>
          <w:rFonts w:ascii="Segoe UI" w:eastAsia="Times New Roman" w:hAnsi="Segoe UI" w:cs="Segoe UI"/>
          <w:b/>
          <w:bCs/>
          <w:color w:val="171717"/>
          <w:sz w:val="24"/>
          <w:szCs w:val="24"/>
          <w:lang w:eastAsia="pt-BR"/>
        </w:rPr>
        <w:t>Verificar suas respostas</w:t>
      </w:r>
      <w:r w:rsidRPr="00D4070B">
        <w:rPr>
          <w:rFonts w:ascii="Segoe UI" w:eastAsia="Times New Roman" w:hAnsi="Segoe UI" w:cs="Segoe UI"/>
          <w:color w:val="171717"/>
          <w:sz w:val="24"/>
          <w:szCs w:val="24"/>
          <w:lang w:eastAsia="pt-BR"/>
        </w:rPr>
        <w:t>.</w:t>
      </w:r>
    </w:p>
    <w:p w14:paraId="71A91D32" w14:textId="479D750C" w:rsidR="00A469EA" w:rsidRDefault="00D4070B" w:rsidP="004F0204">
      <w:r w:rsidRPr="00D4070B">
        <w:drawing>
          <wp:inline distT="0" distB="0" distL="0" distR="0" wp14:anchorId="1BF51143" wp14:editId="48D8FE38">
            <wp:extent cx="5400040" cy="13925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392555"/>
                    </a:xfrm>
                    <a:prstGeom prst="rect">
                      <a:avLst/>
                    </a:prstGeom>
                  </pic:spPr>
                </pic:pic>
              </a:graphicData>
            </a:graphic>
          </wp:inline>
        </w:drawing>
      </w:r>
    </w:p>
    <w:p w14:paraId="7EA02ADE" w14:textId="57844FFE" w:rsidR="00D4070B" w:rsidRDefault="00D4070B" w:rsidP="004F0204">
      <w:r w:rsidRPr="00D4070B">
        <w:lastRenderedPageBreak/>
        <w:drawing>
          <wp:inline distT="0" distB="0" distL="0" distR="0" wp14:anchorId="322A90CC" wp14:editId="5C0F718F">
            <wp:extent cx="5400040" cy="143383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33830"/>
                    </a:xfrm>
                    <a:prstGeom prst="rect">
                      <a:avLst/>
                    </a:prstGeom>
                  </pic:spPr>
                </pic:pic>
              </a:graphicData>
            </a:graphic>
          </wp:inline>
        </w:drawing>
      </w:r>
    </w:p>
    <w:p w14:paraId="09FDA356" w14:textId="018D1672" w:rsidR="00D4070B" w:rsidRDefault="00D4070B" w:rsidP="004F0204">
      <w:r w:rsidRPr="00D4070B">
        <w:drawing>
          <wp:inline distT="0" distB="0" distL="0" distR="0" wp14:anchorId="6A0A2E99" wp14:editId="4F69B8D9">
            <wp:extent cx="5400040" cy="12319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31900"/>
                    </a:xfrm>
                    <a:prstGeom prst="rect">
                      <a:avLst/>
                    </a:prstGeom>
                  </pic:spPr>
                </pic:pic>
              </a:graphicData>
            </a:graphic>
          </wp:inline>
        </w:drawing>
      </w:r>
    </w:p>
    <w:p w14:paraId="07C38203" w14:textId="77777777" w:rsidR="009A5884" w:rsidRPr="009A5884" w:rsidRDefault="009A5884" w:rsidP="009A5884">
      <w:pPr>
        <w:shd w:val="clear" w:color="auto" w:fill="FFFFFF"/>
        <w:spacing w:after="0" w:line="240" w:lineRule="auto"/>
        <w:outlineLvl w:val="0"/>
        <w:rPr>
          <w:rFonts w:ascii="Segoe UI" w:eastAsia="Times New Roman" w:hAnsi="Segoe UI" w:cs="Segoe UI"/>
          <w:b/>
          <w:bCs/>
          <w:color w:val="171717"/>
          <w:kern w:val="36"/>
          <w:sz w:val="48"/>
          <w:szCs w:val="48"/>
          <w:lang w:eastAsia="pt-BR"/>
        </w:rPr>
      </w:pPr>
      <w:r w:rsidRPr="009A5884">
        <w:rPr>
          <w:rFonts w:ascii="Segoe UI" w:eastAsia="Times New Roman" w:hAnsi="Segoe UI" w:cs="Segoe UI"/>
          <w:b/>
          <w:bCs/>
          <w:color w:val="171717"/>
          <w:kern w:val="36"/>
          <w:sz w:val="48"/>
          <w:szCs w:val="48"/>
          <w:lang w:eastAsia="pt-BR"/>
        </w:rPr>
        <w:t>Resumo</w:t>
      </w:r>
    </w:p>
    <w:p w14:paraId="5E207F89" w14:textId="77777777" w:rsidR="009A5884" w:rsidRPr="009A5884" w:rsidRDefault="009A5884" w:rsidP="009A5884">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9A5884">
        <w:rPr>
          <w:rFonts w:ascii="Segoe UI" w:eastAsia="Times New Roman" w:hAnsi="Segoe UI" w:cs="Segoe UI"/>
          <w:color w:val="171717"/>
          <w:sz w:val="24"/>
          <w:szCs w:val="24"/>
          <w:lang w:eastAsia="pt-BR"/>
        </w:rPr>
        <w:t>Neste módulo, você aprendeu sobre a abordagem da Microsoft à privacidade, à segurança e à conformidade. Você explorou recursos específicos dos serviços online, incluindo o Azure, e como governos podem usar o Azure para atender às suas necessidades específicas de segurança e conformidade.</w:t>
      </w:r>
    </w:p>
    <w:p w14:paraId="1FC9982B" w14:textId="77777777" w:rsidR="009A5884" w:rsidRPr="009A5884" w:rsidRDefault="009A5884" w:rsidP="009A5884">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9A5884">
        <w:rPr>
          <w:rFonts w:ascii="Segoe UI" w:eastAsia="Times New Roman" w:hAnsi="Segoe UI" w:cs="Segoe UI"/>
          <w:color w:val="171717"/>
          <w:sz w:val="24"/>
          <w:szCs w:val="24"/>
          <w:lang w:eastAsia="pt-BR"/>
        </w:rPr>
        <w:t>Agora, a equipe de segurança da Tailwind Traders tem um melhor entendimento de quais recursos estão disponíveis para ajudá-los a proteger seus dados na nuvem e a manter a conformidade:</w:t>
      </w:r>
    </w:p>
    <w:p w14:paraId="13DF6498" w14:textId="77777777" w:rsidR="009A5884" w:rsidRPr="009A5884" w:rsidRDefault="009A5884" w:rsidP="009A5884">
      <w:pPr>
        <w:numPr>
          <w:ilvl w:val="0"/>
          <w:numId w:val="17"/>
        </w:numPr>
        <w:shd w:val="clear" w:color="auto" w:fill="FFFFFF"/>
        <w:spacing w:after="0" w:line="240" w:lineRule="auto"/>
        <w:ind w:left="1290"/>
        <w:rPr>
          <w:rFonts w:ascii="Segoe UI" w:eastAsia="Times New Roman" w:hAnsi="Segoe UI" w:cs="Segoe UI"/>
          <w:color w:val="171717"/>
          <w:sz w:val="24"/>
          <w:szCs w:val="24"/>
          <w:lang w:eastAsia="pt-BR"/>
        </w:rPr>
      </w:pPr>
      <w:r w:rsidRPr="009A5884">
        <w:rPr>
          <w:rFonts w:ascii="Segoe UI" w:eastAsia="Times New Roman" w:hAnsi="Segoe UI" w:cs="Segoe UI"/>
          <w:color w:val="171717"/>
          <w:sz w:val="24"/>
          <w:szCs w:val="24"/>
          <w:lang w:eastAsia="pt-BR"/>
        </w:rPr>
        <w:t>A </w:t>
      </w:r>
      <w:hyperlink r:id="rId33" w:tgtFrame="az-portal" w:history="1">
        <w:r w:rsidRPr="009A5884">
          <w:rPr>
            <w:rFonts w:ascii="Segoe UI" w:eastAsia="Times New Roman" w:hAnsi="Segoe UI" w:cs="Segoe UI"/>
            <w:color w:val="0000FF"/>
            <w:sz w:val="24"/>
            <w:szCs w:val="24"/>
            <w:u w:val="single"/>
            <w:lang w:eastAsia="pt-BR"/>
          </w:rPr>
          <w:t>Política de Privacidade da Microsoft</w:t>
        </w:r>
      </w:hyperlink>
      <w:r w:rsidRPr="009A5884">
        <w:rPr>
          <w:rFonts w:ascii="Segoe UI" w:eastAsia="Times New Roman" w:hAnsi="Segoe UI" w:cs="Segoe UI"/>
          <w:color w:val="171717"/>
          <w:sz w:val="24"/>
          <w:szCs w:val="24"/>
          <w:lang w:eastAsia="pt-BR"/>
        </w:rPr>
        <w:t> proporciona confiança na forma como a Microsoft coleta, protege e usa dados do cliente.</w:t>
      </w:r>
    </w:p>
    <w:p w14:paraId="7C22CCD1" w14:textId="77777777" w:rsidR="009A5884" w:rsidRPr="009A5884" w:rsidRDefault="009A5884" w:rsidP="009A5884">
      <w:pPr>
        <w:numPr>
          <w:ilvl w:val="0"/>
          <w:numId w:val="17"/>
        </w:numPr>
        <w:shd w:val="clear" w:color="auto" w:fill="FFFFFF"/>
        <w:spacing w:after="0" w:line="240" w:lineRule="auto"/>
        <w:ind w:left="1290"/>
        <w:rPr>
          <w:rFonts w:ascii="Segoe UI" w:eastAsia="Times New Roman" w:hAnsi="Segoe UI" w:cs="Segoe UI"/>
          <w:color w:val="171717"/>
          <w:sz w:val="24"/>
          <w:szCs w:val="24"/>
          <w:lang w:eastAsia="pt-BR"/>
        </w:rPr>
      </w:pPr>
      <w:r w:rsidRPr="009A5884">
        <w:rPr>
          <w:rFonts w:ascii="Segoe UI" w:eastAsia="Times New Roman" w:hAnsi="Segoe UI" w:cs="Segoe UI"/>
          <w:color w:val="171717"/>
          <w:sz w:val="24"/>
          <w:szCs w:val="24"/>
          <w:lang w:eastAsia="pt-BR"/>
        </w:rPr>
        <w:t>A </w:t>
      </w:r>
      <w:hyperlink r:id="rId34" w:tgtFrame="az-portal" w:history="1">
        <w:r w:rsidRPr="009A5884">
          <w:rPr>
            <w:rFonts w:ascii="Segoe UI" w:eastAsia="Times New Roman" w:hAnsi="Segoe UI" w:cs="Segoe UI"/>
            <w:color w:val="0000FF"/>
            <w:sz w:val="24"/>
            <w:szCs w:val="24"/>
            <w:u w:val="single"/>
            <w:lang w:eastAsia="pt-BR"/>
          </w:rPr>
          <w:t>Central de Confiabilidade</w:t>
        </w:r>
      </w:hyperlink>
      <w:r w:rsidRPr="009A5884">
        <w:rPr>
          <w:rFonts w:ascii="Segoe UI" w:eastAsia="Times New Roman" w:hAnsi="Segoe UI" w:cs="Segoe UI"/>
          <w:color w:val="171717"/>
          <w:sz w:val="24"/>
          <w:szCs w:val="24"/>
          <w:lang w:eastAsia="pt-BR"/>
        </w:rPr>
        <w:t> fornece documentação sobre padrões de conformidade e sobre como o Azure pode dar suporte à sua empresa.</w:t>
      </w:r>
    </w:p>
    <w:p w14:paraId="5E187791" w14:textId="77777777" w:rsidR="009A5884" w:rsidRPr="009A5884" w:rsidRDefault="009A5884" w:rsidP="009A5884">
      <w:pPr>
        <w:numPr>
          <w:ilvl w:val="0"/>
          <w:numId w:val="17"/>
        </w:numPr>
        <w:shd w:val="clear" w:color="auto" w:fill="FFFFFF"/>
        <w:spacing w:after="0" w:line="240" w:lineRule="auto"/>
        <w:ind w:left="1290"/>
        <w:rPr>
          <w:rFonts w:ascii="Segoe UI" w:eastAsia="Times New Roman" w:hAnsi="Segoe UI" w:cs="Segoe UI"/>
          <w:color w:val="171717"/>
          <w:sz w:val="24"/>
          <w:szCs w:val="24"/>
          <w:lang w:eastAsia="pt-BR"/>
        </w:rPr>
      </w:pPr>
      <w:r w:rsidRPr="009A5884">
        <w:rPr>
          <w:rFonts w:ascii="Segoe UI" w:eastAsia="Times New Roman" w:hAnsi="Segoe UI" w:cs="Segoe UI"/>
          <w:color w:val="171717"/>
          <w:sz w:val="24"/>
          <w:szCs w:val="24"/>
          <w:lang w:eastAsia="pt-BR"/>
        </w:rPr>
        <w:t>A </w:t>
      </w:r>
      <w:hyperlink r:id="rId35" w:tgtFrame="az-portal" w:history="1">
        <w:r w:rsidRPr="009A5884">
          <w:rPr>
            <w:rFonts w:ascii="Segoe UI" w:eastAsia="Times New Roman" w:hAnsi="Segoe UI" w:cs="Segoe UI"/>
            <w:color w:val="0000FF"/>
            <w:sz w:val="24"/>
            <w:szCs w:val="24"/>
            <w:u w:val="single"/>
            <w:lang w:eastAsia="pt-BR"/>
          </w:rPr>
          <w:t>documentação de conformidade do Azure</w:t>
        </w:r>
      </w:hyperlink>
      <w:r w:rsidRPr="009A5884">
        <w:rPr>
          <w:rFonts w:ascii="Segoe UI" w:eastAsia="Times New Roman" w:hAnsi="Segoe UI" w:cs="Segoe UI"/>
          <w:color w:val="171717"/>
          <w:sz w:val="24"/>
          <w:szCs w:val="24"/>
          <w:lang w:eastAsia="pt-BR"/>
        </w:rPr>
        <w:t> inclui informações detalhadas sobre a conformidade e os padrões legais e regulatórios no Azure.</w:t>
      </w:r>
    </w:p>
    <w:p w14:paraId="6BAFE970" w14:textId="77777777" w:rsidR="009A5884" w:rsidRPr="009A5884" w:rsidRDefault="009A5884" w:rsidP="009A5884">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9A5884">
        <w:rPr>
          <w:rFonts w:ascii="Segoe UI" w:eastAsia="Times New Roman" w:hAnsi="Segoe UI" w:cs="Segoe UI"/>
          <w:color w:val="171717"/>
          <w:sz w:val="24"/>
          <w:szCs w:val="24"/>
          <w:lang w:eastAsia="pt-BR"/>
        </w:rPr>
        <w:t>Tenha em mente que o status de conformidade dos produtos e serviços do Azure não implica automaticamente conformidade para o serviço ou aplicativo que você cria ou hospeda no Azure. Você é responsável por garantir a conformidade com os padrões legais e regulatórios que precisa seguir.</w:t>
      </w:r>
    </w:p>
    <w:p w14:paraId="569B5FE1" w14:textId="77777777" w:rsidR="009A5884" w:rsidRPr="009A5884" w:rsidRDefault="009A5884" w:rsidP="009A5884">
      <w:pPr>
        <w:shd w:val="clear" w:color="auto" w:fill="FFFFFF"/>
        <w:spacing w:before="100" w:beforeAutospacing="1" w:after="100" w:afterAutospacing="1" w:line="240" w:lineRule="auto"/>
        <w:rPr>
          <w:rFonts w:ascii="Segoe UI" w:eastAsia="Times New Roman" w:hAnsi="Segoe UI" w:cs="Segoe UI"/>
          <w:color w:val="171717"/>
          <w:sz w:val="24"/>
          <w:szCs w:val="24"/>
          <w:lang w:eastAsia="pt-BR"/>
        </w:rPr>
      </w:pPr>
      <w:r w:rsidRPr="009A5884">
        <w:rPr>
          <w:rFonts w:ascii="Segoe UI" w:eastAsia="Times New Roman" w:hAnsi="Segoe UI" w:cs="Segoe UI"/>
          <w:color w:val="171717"/>
          <w:sz w:val="24"/>
          <w:szCs w:val="24"/>
          <w:lang w:eastAsia="pt-BR"/>
        </w:rPr>
        <w:t>A maioria dos serviços são os mesmos no Azure Government e no Azure global. Entretanto, há algumas diferenças das quais você deve estar ciente. Para saber mais, </w:t>
      </w:r>
      <w:hyperlink r:id="rId36" w:tgtFrame="az-portal" w:history="1">
        <w:r w:rsidRPr="009A5884">
          <w:rPr>
            <w:rFonts w:ascii="Segoe UI" w:eastAsia="Times New Roman" w:hAnsi="Segoe UI" w:cs="Segoe UI"/>
            <w:color w:val="0000FF"/>
            <w:sz w:val="24"/>
            <w:szCs w:val="24"/>
            <w:u w:val="single"/>
            <w:lang w:eastAsia="pt-BR"/>
          </w:rPr>
          <w:t>compare o Azure Government e o Azure global</w:t>
        </w:r>
      </w:hyperlink>
      <w:r w:rsidRPr="009A5884">
        <w:rPr>
          <w:rFonts w:ascii="Segoe UI" w:eastAsia="Times New Roman" w:hAnsi="Segoe UI" w:cs="Segoe UI"/>
          <w:color w:val="171717"/>
          <w:sz w:val="24"/>
          <w:szCs w:val="24"/>
          <w:lang w:eastAsia="pt-BR"/>
        </w:rPr>
        <w:t>.</w:t>
      </w:r>
    </w:p>
    <w:p w14:paraId="1CA2B702" w14:textId="77777777" w:rsidR="009A5884" w:rsidRDefault="009A5884" w:rsidP="004F0204"/>
    <w:sectPr w:rsidR="009A588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oco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2B32"/>
    <w:multiLevelType w:val="multilevel"/>
    <w:tmpl w:val="B67082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F5C5A"/>
    <w:multiLevelType w:val="multilevel"/>
    <w:tmpl w:val="641016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A59E9"/>
    <w:multiLevelType w:val="multilevel"/>
    <w:tmpl w:val="169CAA8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80A5BBA"/>
    <w:multiLevelType w:val="multilevel"/>
    <w:tmpl w:val="8938B8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A6BF4"/>
    <w:multiLevelType w:val="multilevel"/>
    <w:tmpl w:val="7598D8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A26F4"/>
    <w:multiLevelType w:val="multilevel"/>
    <w:tmpl w:val="20026C7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AB14CF2"/>
    <w:multiLevelType w:val="multilevel"/>
    <w:tmpl w:val="2DE4F4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261BD"/>
    <w:multiLevelType w:val="multilevel"/>
    <w:tmpl w:val="BDB8AA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8D17D5"/>
    <w:multiLevelType w:val="multilevel"/>
    <w:tmpl w:val="EFD677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FC7546"/>
    <w:multiLevelType w:val="multilevel"/>
    <w:tmpl w:val="A07060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696E72"/>
    <w:multiLevelType w:val="multilevel"/>
    <w:tmpl w:val="C89C86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9D1B72"/>
    <w:multiLevelType w:val="multilevel"/>
    <w:tmpl w:val="4022A6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6E618B"/>
    <w:multiLevelType w:val="multilevel"/>
    <w:tmpl w:val="BAAABD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1D3970"/>
    <w:multiLevelType w:val="multilevel"/>
    <w:tmpl w:val="931E7A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1931C1"/>
    <w:multiLevelType w:val="multilevel"/>
    <w:tmpl w:val="0A5A8B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B323A8"/>
    <w:multiLevelType w:val="multilevel"/>
    <w:tmpl w:val="221C06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78CD1BEE"/>
    <w:multiLevelType w:val="multilevel"/>
    <w:tmpl w:val="66FA15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89887019">
    <w:abstractNumId w:val="0"/>
  </w:num>
  <w:num w:numId="2" w16cid:durableId="1201867298">
    <w:abstractNumId w:val="12"/>
  </w:num>
  <w:num w:numId="3" w16cid:durableId="2038968581">
    <w:abstractNumId w:val="16"/>
  </w:num>
  <w:num w:numId="4" w16cid:durableId="1815609536">
    <w:abstractNumId w:val="11"/>
  </w:num>
  <w:num w:numId="5" w16cid:durableId="2146462599">
    <w:abstractNumId w:val="15"/>
  </w:num>
  <w:num w:numId="6" w16cid:durableId="1902708837">
    <w:abstractNumId w:val="14"/>
  </w:num>
  <w:num w:numId="7" w16cid:durableId="748887146">
    <w:abstractNumId w:val="4"/>
  </w:num>
  <w:num w:numId="8" w16cid:durableId="1433818981">
    <w:abstractNumId w:val="2"/>
  </w:num>
  <w:num w:numId="9" w16cid:durableId="618800133">
    <w:abstractNumId w:val="9"/>
  </w:num>
  <w:num w:numId="10" w16cid:durableId="151141997">
    <w:abstractNumId w:val="13"/>
  </w:num>
  <w:num w:numId="11" w16cid:durableId="540166745">
    <w:abstractNumId w:val="5"/>
  </w:num>
  <w:num w:numId="12" w16cid:durableId="128599833">
    <w:abstractNumId w:val="3"/>
  </w:num>
  <w:num w:numId="13" w16cid:durableId="1132018091">
    <w:abstractNumId w:val="7"/>
  </w:num>
  <w:num w:numId="14" w16cid:durableId="1858884076">
    <w:abstractNumId w:val="6"/>
  </w:num>
  <w:num w:numId="15" w16cid:durableId="1222250256">
    <w:abstractNumId w:val="8"/>
  </w:num>
  <w:num w:numId="16" w16cid:durableId="869296360">
    <w:abstractNumId w:val="10"/>
  </w:num>
  <w:num w:numId="17" w16cid:durableId="1766539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02E"/>
    <w:rsid w:val="003C402E"/>
    <w:rsid w:val="003F1A37"/>
    <w:rsid w:val="004F0204"/>
    <w:rsid w:val="009A5884"/>
    <w:rsid w:val="00A469EA"/>
    <w:rsid w:val="00D4070B"/>
    <w:rsid w:val="00E675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12B5C"/>
  <w15:chartTrackingRefBased/>
  <w15:docId w15:val="{85A07BFE-7AAA-44A3-959E-6E74AEB67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4F02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4F0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4F02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F0204"/>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semiHidden/>
    <w:rsid w:val="004F0204"/>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4F020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4F020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4F0204"/>
    <w:rPr>
      <w:i/>
      <w:iCs/>
    </w:rPr>
  </w:style>
  <w:style w:type="character" w:styleId="Hyperlink">
    <w:name w:val="Hyperlink"/>
    <w:basedOn w:val="Fontepargpadro"/>
    <w:uiPriority w:val="99"/>
    <w:semiHidden/>
    <w:unhideWhenUsed/>
    <w:rsid w:val="00E67572"/>
    <w:rPr>
      <w:color w:val="0000FF"/>
      <w:u w:val="single"/>
    </w:rPr>
  </w:style>
  <w:style w:type="character" w:styleId="Forte">
    <w:name w:val="Strong"/>
    <w:basedOn w:val="Fontepargpadro"/>
    <w:uiPriority w:val="22"/>
    <w:qFormat/>
    <w:rsid w:val="00E67572"/>
    <w:rPr>
      <w:b/>
      <w:bCs/>
    </w:rPr>
  </w:style>
  <w:style w:type="character" w:customStyle="1" w:styleId="visually-hidden">
    <w:name w:val="visually-hidden"/>
    <w:basedOn w:val="Fontepargpadro"/>
    <w:rsid w:val="003F1A37"/>
  </w:style>
  <w:style w:type="character" w:customStyle="1" w:styleId="xp-tag-xp">
    <w:name w:val="xp-tag-xp"/>
    <w:basedOn w:val="Fontepargpadro"/>
    <w:rsid w:val="003F1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1929">
      <w:bodyDiv w:val="1"/>
      <w:marLeft w:val="0"/>
      <w:marRight w:val="0"/>
      <w:marTop w:val="0"/>
      <w:marBottom w:val="0"/>
      <w:divBdr>
        <w:top w:val="none" w:sz="0" w:space="0" w:color="auto"/>
        <w:left w:val="none" w:sz="0" w:space="0" w:color="auto"/>
        <w:bottom w:val="none" w:sz="0" w:space="0" w:color="auto"/>
        <w:right w:val="none" w:sz="0" w:space="0" w:color="auto"/>
      </w:divBdr>
      <w:divsChild>
        <w:div w:id="1437679561">
          <w:marLeft w:val="0"/>
          <w:marRight w:val="0"/>
          <w:marTop w:val="0"/>
          <w:marBottom w:val="0"/>
          <w:divBdr>
            <w:top w:val="none" w:sz="0" w:space="0" w:color="auto"/>
            <w:left w:val="none" w:sz="0" w:space="0" w:color="auto"/>
            <w:bottom w:val="none" w:sz="0" w:space="0" w:color="auto"/>
            <w:right w:val="none" w:sz="0" w:space="0" w:color="auto"/>
          </w:divBdr>
          <w:divsChild>
            <w:div w:id="212214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63">
      <w:bodyDiv w:val="1"/>
      <w:marLeft w:val="0"/>
      <w:marRight w:val="0"/>
      <w:marTop w:val="0"/>
      <w:marBottom w:val="0"/>
      <w:divBdr>
        <w:top w:val="none" w:sz="0" w:space="0" w:color="auto"/>
        <w:left w:val="none" w:sz="0" w:space="0" w:color="auto"/>
        <w:bottom w:val="none" w:sz="0" w:space="0" w:color="auto"/>
        <w:right w:val="none" w:sz="0" w:space="0" w:color="auto"/>
      </w:divBdr>
    </w:div>
    <w:div w:id="112941991">
      <w:bodyDiv w:val="1"/>
      <w:marLeft w:val="0"/>
      <w:marRight w:val="0"/>
      <w:marTop w:val="0"/>
      <w:marBottom w:val="0"/>
      <w:divBdr>
        <w:top w:val="none" w:sz="0" w:space="0" w:color="auto"/>
        <w:left w:val="none" w:sz="0" w:space="0" w:color="auto"/>
        <w:bottom w:val="none" w:sz="0" w:space="0" w:color="auto"/>
        <w:right w:val="none" w:sz="0" w:space="0" w:color="auto"/>
      </w:divBdr>
      <w:divsChild>
        <w:div w:id="1760324123">
          <w:marLeft w:val="0"/>
          <w:marRight w:val="0"/>
          <w:marTop w:val="0"/>
          <w:marBottom w:val="0"/>
          <w:divBdr>
            <w:top w:val="none" w:sz="0" w:space="0" w:color="auto"/>
            <w:left w:val="none" w:sz="0" w:space="0" w:color="auto"/>
            <w:bottom w:val="none" w:sz="0" w:space="0" w:color="auto"/>
            <w:right w:val="none" w:sz="0" w:space="0" w:color="auto"/>
          </w:divBdr>
          <w:divsChild>
            <w:div w:id="6050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4473">
      <w:bodyDiv w:val="1"/>
      <w:marLeft w:val="0"/>
      <w:marRight w:val="0"/>
      <w:marTop w:val="0"/>
      <w:marBottom w:val="0"/>
      <w:divBdr>
        <w:top w:val="none" w:sz="0" w:space="0" w:color="auto"/>
        <w:left w:val="none" w:sz="0" w:space="0" w:color="auto"/>
        <w:bottom w:val="none" w:sz="0" w:space="0" w:color="auto"/>
        <w:right w:val="none" w:sz="0" w:space="0" w:color="auto"/>
      </w:divBdr>
      <w:divsChild>
        <w:div w:id="1118259724">
          <w:marLeft w:val="0"/>
          <w:marRight w:val="0"/>
          <w:marTop w:val="0"/>
          <w:marBottom w:val="0"/>
          <w:divBdr>
            <w:top w:val="none" w:sz="0" w:space="0" w:color="auto"/>
            <w:left w:val="none" w:sz="0" w:space="0" w:color="auto"/>
            <w:bottom w:val="none" w:sz="0" w:space="0" w:color="auto"/>
            <w:right w:val="none" w:sz="0" w:space="0" w:color="auto"/>
          </w:divBdr>
          <w:divsChild>
            <w:div w:id="19660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6551">
      <w:bodyDiv w:val="1"/>
      <w:marLeft w:val="0"/>
      <w:marRight w:val="0"/>
      <w:marTop w:val="0"/>
      <w:marBottom w:val="0"/>
      <w:divBdr>
        <w:top w:val="none" w:sz="0" w:space="0" w:color="auto"/>
        <w:left w:val="none" w:sz="0" w:space="0" w:color="auto"/>
        <w:bottom w:val="none" w:sz="0" w:space="0" w:color="auto"/>
        <w:right w:val="none" w:sz="0" w:space="0" w:color="auto"/>
      </w:divBdr>
    </w:div>
    <w:div w:id="251814393">
      <w:bodyDiv w:val="1"/>
      <w:marLeft w:val="0"/>
      <w:marRight w:val="0"/>
      <w:marTop w:val="0"/>
      <w:marBottom w:val="0"/>
      <w:divBdr>
        <w:top w:val="none" w:sz="0" w:space="0" w:color="auto"/>
        <w:left w:val="none" w:sz="0" w:space="0" w:color="auto"/>
        <w:bottom w:val="none" w:sz="0" w:space="0" w:color="auto"/>
        <w:right w:val="none" w:sz="0" w:space="0" w:color="auto"/>
      </w:divBdr>
    </w:div>
    <w:div w:id="919218595">
      <w:bodyDiv w:val="1"/>
      <w:marLeft w:val="0"/>
      <w:marRight w:val="0"/>
      <w:marTop w:val="0"/>
      <w:marBottom w:val="0"/>
      <w:divBdr>
        <w:top w:val="none" w:sz="0" w:space="0" w:color="auto"/>
        <w:left w:val="none" w:sz="0" w:space="0" w:color="auto"/>
        <w:bottom w:val="none" w:sz="0" w:space="0" w:color="auto"/>
        <w:right w:val="none" w:sz="0" w:space="0" w:color="auto"/>
      </w:divBdr>
      <w:divsChild>
        <w:div w:id="1616448432">
          <w:marLeft w:val="0"/>
          <w:marRight w:val="0"/>
          <w:marTop w:val="0"/>
          <w:marBottom w:val="0"/>
          <w:divBdr>
            <w:top w:val="none" w:sz="0" w:space="0" w:color="auto"/>
            <w:left w:val="none" w:sz="0" w:space="0" w:color="auto"/>
            <w:bottom w:val="none" w:sz="0" w:space="0" w:color="auto"/>
            <w:right w:val="none" w:sz="0" w:space="0" w:color="auto"/>
          </w:divBdr>
          <w:divsChild>
            <w:div w:id="18063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7491">
      <w:bodyDiv w:val="1"/>
      <w:marLeft w:val="0"/>
      <w:marRight w:val="0"/>
      <w:marTop w:val="0"/>
      <w:marBottom w:val="0"/>
      <w:divBdr>
        <w:top w:val="none" w:sz="0" w:space="0" w:color="auto"/>
        <w:left w:val="none" w:sz="0" w:space="0" w:color="auto"/>
        <w:bottom w:val="none" w:sz="0" w:space="0" w:color="auto"/>
        <w:right w:val="none" w:sz="0" w:space="0" w:color="auto"/>
      </w:divBdr>
      <w:divsChild>
        <w:div w:id="1225406760">
          <w:marLeft w:val="0"/>
          <w:marRight w:val="0"/>
          <w:marTop w:val="0"/>
          <w:marBottom w:val="0"/>
          <w:divBdr>
            <w:top w:val="none" w:sz="0" w:space="0" w:color="auto"/>
            <w:left w:val="none" w:sz="0" w:space="0" w:color="auto"/>
            <w:bottom w:val="none" w:sz="0" w:space="0" w:color="auto"/>
            <w:right w:val="none" w:sz="0" w:space="0" w:color="auto"/>
          </w:divBdr>
          <w:divsChild>
            <w:div w:id="2581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7353">
      <w:bodyDiv w:val="1"/>
      <w:marLeft w:val="0"/>
      <w:marRight w:val="0"/>
      <w:marTop w:val="0"/>
      <w:marBottom w:val="0"/>
      <w:divBdr>
        <w:top w:val="none" w:sz="0" w:space="0" w:color="auto"/>
        <w:left w:val="none" w:sz="0" w:space="0" w:color="auto"/>
        <w:bottom w:val="none" w:sz="0" w:space="0" w:color="auto"/>
        <w:right w:val="none" w:sz="0" w:space="0" w:color="auto"/>
      </w:divBdr>
    </w:div>
    <w:div w:id="1982690695">
      <w:bodyDiv w:val="1"/>
      <w:marLeft w:val="0"/>
      <w:marRight w:val="0"/>
      <w:marTop w:val="0"/>
      <w:marBottom w:val="0"/>
      <w:divBdr>
        <w:top w:val="none" w:sz="0" w:space="0" w:color="auto"/>
        <w:left w:val="none" w:sz="0" w:space="0" w:color="auto"/>
        <w:bottom w:val="none" w:sz="0" w:space="0" w:color="auto"/>
        <w:right w:val="none" w:sz="0" w:space="0" w:color="auto"/>
      </w:divBdr>
    </w:div>
    <w:div w:id="1986469197">
      <w:bodyDiv w:val="1"/>
      <w:marLeft w:val="0"/>
      <w:marRight w:val="0"/>
      <w:marTop w:val="0"/>
      <w:marBottom w:val="0"/>
      <w:divBdr>
        <w:top w:val="none" w:sz="0" w:space="0" w:color="auto"/>
        <w:left w:val="none" w:sz="0" w:space="0" w:color="auto"/>
        <w:bottom w:val="none" w:sz="0" w:space="0" w:color="auto"/>
        <w:right w:val="none" w:sz="0" w:space="0" w:color="auto"/>
      </w:divBdr>
      <w:divsChild>
        <w:div w:id="1670598183">
          <w:marLeft w:val="0"/>
          <w:marRight w:val="0"/>
          <w:marTop w:val="0"/>
          <w:marBottom w:val="0"/>
          <w:divBdr>
            <w:top w:val="none" w:sz="0" w:space="0" w:color="auto"/>
            <w:left w:val="none" w:sz="0" w:space="0" w:color="auto"/>
            <w:bottom w:val="none" w:sz="0" w:space="0" w:color="auto"/>
            <w:right w:val="none" w:sz="0" w:space="0" w:color="auto"/>
          </w:divBdr>
          <w:divsChild>
            <w:div w:id="512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microsoft.com/pt-br/azure/compliance/" TargetMode="External"/><Relationship Id="rId26" Type="http://schemas.openxmlformats.org/officeDocument/2006/relationships/image" Target="media/image9.png"/><Relationship Id="rId21" Type="http://schemas.openxmlformats.org/officeDocument/2006/relationships/hyperlink" Target="https://servicetrust.microsoft.com/ViewPage/MSComplianceGuideV3?docTab=7027ead0-3d6b-11e9-b9e1-290b1eb4cdeb_PCI_DSS%3Fazure-portal%3Dtrue" TargetMode="External"/><Relationship Id="rId34" Type="http://schemas.openxmlformats.org/officeDocument/2006/relationships/hyperlink" Target="https://www.microsoft.com/trustcenter" TargetMode="External"/><Relationship Id="rId7" Type="http://schemas.openxmlformats.org/officeDocument/2006/relationships/hyperlink" Target="https://www.microsoft.com/licensing/terms/product/ForallOnlineServices" TargetMode="External"/><Relationship Id="rId12" Type="http://schemas.openxmlformats.org/officeDocument/2006/relationships/hyperlink" Target="https://www.microsoft.com/trust-center?rtc=1%3Fazure-portal%3Dtrue" TargetMode="External"/><Relationship Id="rId17" Type="http://schemas.openxmlformats.org/officeDocument/2006/relationships/hyperlink" Target="https://docs.microsoft.com/pt-br/azure/compliance/" TargetMode="External"/><Relationship Id="rId25" Type="http://schemas.openxmlformats.org/officeDocument/2006/relationships/hyperlink" Target="https://azure.microsoft.com/global-infrastructure/government" TargetMode="External"/><Relationship Id="rId33" Type="http://schemas.openxmlformats.org/officeDocument/2006/relationships/hyperlink" Target="https://privacy.microsoft.com/privacystatemen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ailwindtraders.com/" TargetMode="External"/><Relationship Id="rId20" Type="http://schemas.openxmlformats.org/officeDocument/2006/relationships/hyperlink" Target="https://docs.microsoft.com/pt-br/azure/compliance/"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privacy.microsoft.com/privacystatement"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docs.microsoft.com/pt-br/azure/governance/blueprints/samples/pci-dss-3.2.1/" TargetMode="External"/><Relationship Id="rId28" Type="http://schemas.openxmlformats.org/officeDocument/2006/relationships/hyperlink" Target="https://docs.microsoft.com/pt-br/azure/china" TargetMode="External"/><Relationship Id="rId36" Type="http://schemas.openxmlformats.org/officeDocument/2006/relationships/hyperlink" Target="https://docs.microsoft.com/pt-br/azure/azure-government/compare-azure-government-global-azure" TargetMode="External"/><Relationship Id="rId10" Type="http://schemas.openxmlformats.org/officeDocument/2006/relationships/hyperlink" Target="https://www.microsoft.com/trust-center?rtc=1%3Fazure-portal%3Dtrue"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microsoft.com/pt-br/microsoft-365/compliance/offering-home" TargetMode="External"/><Relationship Id="rId22" Type="http://schemas.openxmlformats.org/officeDocument/2006/relationships/image" Target="media/image7.png"/><Relationship Id="rId27" Type="http://schemas.openxmlformats.org/officeDocument/2006/relationships/hyperlink" Target="https://azure.microsoft.com/global-infrastructure/geographies/" TargetMode="External"/><Relationship Id="rId30" Type="http://schemas.openxmlformats.org/officeDocument/2006/relationships/image" Target="media/image11.png"/><Relationship Id="rId35" Type="http://schemas.openxmlformats.org/officeDocument/2006/relationships/hyperlink" Target="https://docs.microsoft.com/pt-br/azure/compliance/" TargetMode="External"/><Relationship Id="rId8" Type="http://schemas.openxmlformats.org/officeDocument/2006/relationships/hyperlink" Target="https://www.microsoftvolumelicensing.com/DocumentSearch.aspx"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17</Pages>
  <Words>3513</Words>
  <Characters>18972</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Luiz</dc:creator>
  <cp:keywords/>
  <dc:description/>
  <cp:lastModifiedBy>Fernando Luiz</cp:lastModifiedBy>
  <cp:revision>2</cp:revision>
  <dcterms:created xsi:type="dcterms:W3CDTF">2022-04-30T21:49:00Z</dcterms:created>
  <dcterms:modified xsi:type="dcterms:W3CDTF">2022-04-30T22:21:00Z</dcterms:modified>
</cp:coreProperties>
</file>