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Bake to prefab 工具使用及其规范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使用前的准备工作。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烘焙场景目录有一定的规范。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灯光组件放一个目录。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需要烘焙出来的prefab放一个目录。有几个prefab就是几个独立的目录。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8825" cy="2200275"/>
            <wp:effectExtent l="0" t="0" r="9525" b="9525"/>
            <wp:docPr id="1" name="图片 1" descr="_S4E45M8I{YGGF%9XIS]_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S4E45M8I{YGGF%9XIS]_O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如上图所示，灯光等全部放置在light目录下。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prefab，A-prefab，A-prefab为几个需要烘焙出来的prefab。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在需要烘焙出来的prefab上，挂上PrefabLightmapData脚本。如下图所示。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075" cy="21907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7755" cy="1747520"/>
            <wp:effectExtent l="0" t="0" r="17145" b="508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进性烘焙操作。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18"/>
          <w:szCs w:val="18"/>
          <w:lang w:val="en-US" w:eastAsia="zh-CN"/>
        </w:rPr>
        <w:t>A.烘焙操作。通过菜单，如下。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9535" cy="3209925"/>
            <wp:effectExtent l="0" t="0" r="1206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B.烘焙设置。Output目录必须为Art/lightmap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0465" cy="3634740"/>
            <wp:effectExtent l="0" t="0" r="635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烘焙完成后，进性烘焙到prefab操作。执行菜单，如下图。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211455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烘焙完成后，把prefab保存多对应的目录中（程序处理）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162550" cy="3609975"/>
            <wp:effectExtent l="0" t="0" r="0" b="9525"/>
            <wp:docPr id="7" name="图片 7" descr="1551427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1427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Bake to prefab完成之后的，存储的纹理必须手动改为lightmap格式。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770" cy="1203960"/>
            <wp:effectExtent l="0" t="0" r="5080" b="15240"/>
            <wp:docPr id="8" name="图片 8" descr="155142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14273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85F2D5"/>
    <w:multiLevelType w:val="singleLevel"/>
    <w:tmpl w:val="B585F2D5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E2D5413C"/>
    <w:multiLevelType w:val="singleLevel"/>
    <w:tmpl w:val="E2D54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15E9F7"/>
    <w:multiLevelType w:val="singleLevel"/>
    <w:tmpl w:val="6215E9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D1A33"/>
    <w:rsid w:val="58FF3814"/>
    <w:rsid w:val="6D5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zhulin</cp:lastModifiedBy>
  <dcterms:modified xsi:type="dcterms:W3CDTF">2019-03-01T08:02:51Z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