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F68" w:rsidRPr="00392F68" w:rsidRDefault="00392F68" w:rsidP="00392F68">
      <w:pPr>
        <w:widowControl/>
        <w:shd w:val="clear" w:color="auto" w:fill="FFFFFF"/>
        <w:wordWrap w:val="0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44"/>
          <w:szCs w:val="44"/>
        </w:rPr>
      </w:pPr>
      <w:bookmarkStart w:id="0" w:name="_GoBack"/>
      <w:r w:rsidRPr="00392F68">
        <w:rPr>
          <w:rFonts w:ascii="微软雅黑" w:eastAsia="微软雅黑" w:hAnsi="微软雅黑" w:cs="宋体" w:hint="eastAsia"/>
          <w:b/>
          <w:bCs/>
          <w:color w:val="1A1A1A"/>
          <w:kern w:val="36"/>
          <w:sz w:val="44"/>
          <w:szCs w:val="44"/>
        </w:rPr>
        <w:t>回溯“非典”再看“新冠”疫情下的银行股</w:t>
      </w:r>
    </w:p>
    <w:bookmarkEnd w:id="0"/>
    <w:p w:rsidR="00392F68" w:rsidRPr="00392F68" w:rsidRDefault="00392F68" w:rsidP="00392F68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2F68">
        <w:rPr>
          <w:rFonts w:ascii="宋体" w:eastAsia="宋体" w:hAnsi="宋体" w:cs="宋体"/>
          <w:noProof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47625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F68" w:rsidRPr="00392F68" w:rsidRDefault="00392F68" w:rsidP="00392F68">
      <w:pPr>
        <w:widowControl/>
        <w:shd w:val="clear" w:color="auto" w:fill="FFFFFF"/>
        <w:jc w:val="left"/>
        <w:textAlignment w:val="center"/>
        <w:outlineLvl w:val="1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392F68">
        <w:rPr>
          <w:rFonts w:ascii="宋体" w:eastAsia="宋体" w:hAnsi="宋体" w:cs="宋体"/>
          <w:color w:val="333333"/>
          <w:kern w:val="0"/>
          <w:sz w:val="36"/>
          <w:szCs w:val="36"/>
        </w:rPr>
        <w:t>中国金融信息网</w:t>
      </w:r>
    </w:p>
    <w:p w:rsidR="00392F68" w:rsidRPr="00392F68" w:rsidRDefault="00392F68" w:rsidP="00392F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F68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02月14日</w:t>
      </w:r>
      <w:r w:rsidRPr="00392F68">
        <w:rPr>
          <w:rFonts w:ascii="宋体" w:eastAsia="宋体" w:hAnsi="宋体" w:cs="宋体"/>
          <w:kern w:val="0"/>
          <w:sz w:val="24"/>
          <w:szCs w:val="24"/>
        </w:rPr>
        <w:t> 11:12</w:t>
      </w:r>
      <w:hyperlink r:id="rId5" w:history="1">
        <w:r w:rsidRPr="00392F68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bdr w:val="none" w:sz="0" w:space="0" w:color="auto" w:frame="1"/>
            <w:shd w:val="clear" w:color="auto" w:fill="FE9600"/>
          </w:rPr>
          <w:t>关注</w:t>
        </w:r>
      </w:hyperlink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原标题：回溯“非典”再看“新冠”疫情下的银行股</w:t>
      </w:r>
    </w:p>
    <w:p w:rsidR="00392F68" w:rsidRPr="00392F68" w:rsidRDefault="00392F68" w:rsidP="00392F68">
      <w:pPr>
        <w:widowControl/>
        <w:wordWrap w:val="0"/>
        <w:spacing w:beforeAutospacing="1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hyperlink r:id="rId6" w:tgtFrame="app" w:history="1">
        <w:r w:rsidRPr="00392F68">
          <w:rPr>
            <w:rFonts w:ascii="宋体" w:eastAsia="宋体" w:hAnsi="宋体" w:cs="宋体"/>
            <w:color w:val="008AF5"/>
            <w:kern w:val="0"/>
            <w:sz w:val="24"/>
            <w:szCs w:val="24"/>
            <w:u w:val="single"/>
            <w:bdr w:val="none" w:sz="0" w:space="0" w:color="auto" w:frame="1"/>
          </w:rPr>
          <w:t>新华财经</w:t>
        </w:r>
      </w:hyperlink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北京2月14日电（记者吴丛司 沈寅飞）复盘银行板块在2003年“非典”时期的基本面表现以及板块走势，银行基本面受影响有限，“非典”对信贷投向影响小，金融机构信贷同比增速持续上行，银行资产质量表现稳定；受此次“新冠”疫情影响，银行业基本面边际弱化，银行板块短期估值向上弹性不足，不过相较于其他板块，银行板块的盈利水平更具稳定性，防御特性凸显。业内人士指出，人民银行逆周期调节发力，引导贷款市场报价利率（LPR）进一步下行可期。</w:t>
      </w:r>
    </w:p>
    <w:p w:rsidR="00392F68" w:rsidRPr="00392F68" w:rsidRDefault="00392F68" w:rsidP="00392F68">
      <w:pPr>
        <w:widowControl/>
        <w:wordWrap w:val="0"/>
        <w:spacing w:beforeAutospacing="1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b/>
          <w:bCs/>
          <w:color w:val="1A1A1A"/>
          <w:kern w:val="0"/>
          <w:sz w:val="32"/>
          <w:szCs w:val="32"/>
          <w:bdr w:val="none" w:sz="0" w:space="0" w:color="auto" w:frame="1"/>
        </w:rPr>
        <w:t>“非典”:银行基本面受影响有限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2003年，国内经济发展态势向好，信贷需求旺盛，银行基本面受“非典”(SARS)影响有限。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中银国际证券指出，“非典” 期间银行的资产质量未有大幅恶化主要得益于当年经济形势向好。“非典”对经济的影响主要体现在2003年2季度，在疫情得到控制后，3季度国内经济形势有明显的反弹。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同时，2003年国内货币环境保持宽松，监管对于受“非典”影响较大的行业和地区进行适当的信贷倾斜，也有助于</w:t>
      </w: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缓解受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疫情影响较大的企业的偿债压力。在“非典”期间，为缓解疫情对经济、产业带来的冲击，监管适时调整货币政策，防止信贷供给的大幅度波动，出台的政策包括了:对疫情重灾区进行信贷支持，配合财政部对民航、旅游、商贸等行业实施阶段性贷款贴息政策，对疫情期间资金临时周转困难的企业适当下浮贷款利率等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表1:2003年“非典”期间部分货币政策梳理</w:t>
      </w:r>
    </w:p>
    <w:p w:rsidR="00392F68" w:rsidRPr="00392F68" w:rsidRDefault="00392F68" w:rsidP="00392F68">
      <w:pPr>
        <w:widowControl/>
        <w:wordWrap w:val="0"/>
        <w:spacing w:beforeAutospacing="1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  <w:bdr w:val="none" w:sz="0" w:space="0" w:color="auto" w:frame="1"/>
        </w:rPr>
        <w:t>资料来源:人民银行、银保监会、中银国际证券</w:t>
      </w:r>
    </w:p>
    <w:p w:rsidR="00392F68" w:rsidRPr="00392F68" w:rsidRDefault="00392F68" w:rsidP="00392F68">
      <w:pPr>
        <w:widowControl/>
        <w:wordWrap w:val="0"/>
        <w:spacing w:beforeAutospacing="1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中银国际证券指出，在监管的积极干预下，2003年“非典”期间信贷增长稳健，M2同比增速保持上行态势。从信贷投放来看，由于2003年经济发展态势向好、信贷需求旺盛， “非典” 对信贷投向影响小，金融机构信贷同比增速持续上行。数据显示，2003年2季度金融机构的贷款同比增速继续上行，且增量也明显高</w:t>
      </w: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lastRenderedPageBreak/>
        <w:t>于2002年同期。从当时已在 A 股上市的4家银行（</w:t>
      </w:r>
      <w:hyperlink r:id="rId7" w:tgtFrame="app" w:history="1">
        <w:r w:rsidRPr="00392F68">
          <w:rPr>
            <w:rFonts w:ascii="宋体" w:eastAsia="宋体" w:hAnsi="宋体" w:cs="宋体"/>
            <w:color w:val="008AF5"/>
            <w:kern w:val="0"/>
            <w:sz w:val="24"/>
            <w:szCs w:val="24"/>
            <w:u w:val="single"/>
            <w:bdr w:val="none" w:sz="0" w:space="0" w:color="auto" w:frame="1"/>
          </w:rPr>
          <w:t>招行</w:t>
        </w:r>
      </w:hyperlink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、浦发、民生、平安）表现来看，4家银行的贷款总额整体同比增速未有下行，与1季度基本持平。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从资产质量来看，在信贷支持政策出台下，银行资产质量表现稳定。通过分析4家上市银行的不良率、不良生成率、信贷成本，可以看到，在“非典” 期间以及之后的半年，除平安外，另外三家银行的不良率持续下降，且不良生成速度以及信贷成本均未有大幅提升。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此外，在“非典”发生的上半年，银行的营收未受明显影响，由于银行利润生成、风险暴露存在滞后性，下半年开始银行的营收增速有所回落，但整体净利润增速保持相对平稳，“非典”的银行盈利能力带来的影响有限。数据显示，4家银行合计营收增速在“非典” 发生期间受影响较小，2003年上半年营收同比增速为53%，与1季度增速55%基本接近。 但从2003 年全年来看，4家银行的营收同比增速下行较上半年放缓至36%。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国融证券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研究员贾俊超表示，复盘历次卫生风险事件出现后，银行股与病情状况呈现出明显的负相关趋势。以 SARS 为例，疫情暴发前期带来的股市下跌中银行</w:t>
      </w: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股取得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了相对收益，但在疫情扰动结束后均未能跑赢市场。</w:t>
      </w:r>
    </w:p>
    <w:p w:rsidR="00392F68" w:rsidRPr="00392F68" w:rsidRDefault="00392F68" w:rsidP="00392F68">
      <w:pPr>
        <w:widowControl/>
        <w:wordWrap w:val="0"/>
        <w:spacing w:beforeAutospacing="1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b/>
          <w:bCs/>
          <w:color w:val="1A1A1A"/>
          <w:kern w:val="0"/>
          <w:sz w:val="32"/>
          <w:szCs w:val="32"/>
          <w:bdr w:val="none" w:sz="0" w:space="0" w:color="auto" w:frame="1"/>
        </w:rPr>
        <w:t>“新冠”:银行业基本面边际弱化 防御特性凸显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此次“新冠”疫情发生的宏观经济形势、货币政策环境均与“非典”时期不同。受制于市场对宏观经济的预期，银行板块短期估值向上弹性不足，行业基本面边际弱化，不过却表现出显著的防御性。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贾俊超表示，新型冠状病毒疫情防控持续进行中，金融市场广受影响。银行股由于其显著的防御性，在疫情集中爆发市场下跌期间，银行行业表现靠前；在疫情得到控制市场出现反弹阶段，银行股表现不佳，表现靠后。</w:t>
      </w:r>
    </w:p>
    <w:p w:rsidR="00392F68" w:rsidRPr="00392F68" w:rsidRDefault="00392F68" w:rsidP="00392F68">
      <w:pPr>
        <w:widowControl/>
        <w:wordWrap w:val="0"/>
        <w:spacing w:beforeAutospacing="1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hyperlink r:id="rId8" w:tgtFrame="app" w:history="1">
        <w:r w:rsidRPr="00392F68">
          <w:rPr>
            <w:rFonts w:ascii="宋体" w:eastAsia="宋体" w:hAnsi="宋体" w:cs="宋体"/>
            <w:color w:val="008AF5"/>
            <w:kern w:val="0"/>
            <w:sz w:val="24"/>
            <w:szCs w:val="24"/>
            <w:u w:val="single"/>
            <w:bdr w:val="none" w:sz="0" w:space="0" w:color="auto" w:frame="1"/>
          </w:rPr>
          <w:t>东北证券</w:t>
        </w:r>
      </w:hyperlink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分析师刘辰涵认为，当前银行板块估值较低，防御价值较高，估值下</w:t>
      </w: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杀空间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不大。目前银行业估值为0.77倍PB，处于历史0.2%分位，历史底部位置，安全边际极强；从股息</w:t>
      </w: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率角度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来看，全行业股息率为3.9%，7只股息率超过 5%，极具吸引力。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中银国际证券指出，目前银行板块估值接近过去5年中枢水平，相较于其他板块，银行板块的盈利水平更具稳定性，因此板块短期有望跑出相对收益。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近几日，监管持续释放</w:t>
      </w: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出维稳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信号。人民银行继2月3日开展了1.2</w:t>
      </w: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万亿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元逆回购操作之后，4日、10日、11日分别开展了5000亿元、9000亿元、1000亿元逆回购操作，投放流动性累计达2.7</w:t>
      </w: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万亿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元。对于银行业来说，央行通过增加流动性投放对冲市场风险，这将促进银行负债</w:t>
      </w: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端成本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降低，对银行息</w:t>
      </w: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差构成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一定支撑，也有助于银行向实体经济提供流动性支持。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表2:2020年“新冠”疫情部分积极政策梳理</w:t>
      </w:r>
    </w:p>
    <w:p w:rsidR="00392F68" w:rsidRPr="00392F68" w:rsidRDefault="00392F68" w:rsidP="00392F68">
      <w:pPr>
        <w:widowControl/>
        <w:wordWrap w:val="0"/>
        <w:spacing w:beforeAutospacing="1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  <w:bdr w:val="none" w:sz="0" w:space="0" w:color="auto" w:frame="1"/>
        </w:rPr>
        <w:lastRenderedPageBreak/>
        <w:t>资料来源:人民银行、财政部、银保监会、中银国际证券</w:t>
      </w:r>
    </w:p>
    <w:p w:rsidR="00392F68" w:rsidRPr="00392F68" w:rsidRDefault="00392F68" w:rsidP="00392F68">
      <w:pPr>
        <w:widowControl/>
        <w:wordWrap w:val="0"/>
        <w:spacing w:beforeAutospacing="1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hyperlink r:id="rId9" w:tgtFrame="app" w:history="1">
        <w:r w:rsidRPr="00392F68">
          <w:rPr>
            <w:rFonts w:ascii="宋体" w:eastAsia="宋体" w:hAnsi="宋体" w:cs="宋体"/>
            <w:color w:val="008AF5"/>
            <w:kern w:val="0"/>
            <w:sz w:val="24"/>
            <w:szCs w:val="24"/>
            <w:u w:val="single"/>
            <w:bdr w:val="none" w:sz="0" w:space="0" w:color="auto" w:frame="1"/>
          </w:rPr>
          <w:t>中信银行</w:t>
        </w:r>
      </w:hyperlink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研究团队指出，当前，我国银行业保险业保持稳健运行，风险抵御能力较强。特别是经过长期不懈的改革开放和加强监管，近两年打好防范化解金融风险攻坚战初战告捷，金融机构、金融市场的韧性显著增强，抗冲击能力大幅提升，这些都对金融市场稳定运行形成支撑。</w:t>
      </w:r>
    </w:p>
    <w:p w:rsidR="00392F68" w:rsidRPr="00392F68" w:rsidRDefault="00392F68" w:rsidP="00392F68">
      <w:pPr>
        <w:widowControl/>
        <w:wordWrap w:val="0"/>
        <w:spacing w:beforeAutospacing="1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b/>
          <w:bCs/>
          <w:color w:val="1A1A1A"/>
          <w:kern w:val="0"/>
          <w:sz w:val="32"/>
          <w:szCs w:val="32"/>
          <w:bdr w:val="none" w:sz="0" w:space="0" w:color="auto" w:frame="1"/>
        </w:rPr>
        <w:t>逆周期调节发力LPR有望下行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中国人民银行副行长潘功胜日前明确表示，要加大逆周期调节的强度，保持流动性合理充裕，为实体经济提供良好的货币金融环境。“我国的宏观调控政策空间仍然是充足的，在世界主要经济体中，中国仍然是少数实施常态化货币政策的国家，所以，我们的工具箱是非常充足的。”潘功胜说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业内人士表示，近期货币政策逆周期调节将体现在政策利率调整上。在下周初，央行逆回购到期将较为集中，业内普遍预期，中期借贷便利(MLF)利率有望下行。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中银国际证券指出，监管释放</w:t>
      </w: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出维稳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信号，以目前我国的经济形势来看，为减缓疫情对短期经济的冲击，监管未来将加大逆周期调节力度，后续降准、降息政策有望出台。在LPR改革的稳步推进下，监管可能通过降低MLF利率的方式来引导LPR利率的下行，从而减小实体融资成本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刘辰涵表示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，疫情对中小企业冲击较大，银行积极应对不断支援，对于湖北地区一些中小企业实施贷款利率优惠政策，减轻中小企业负担。为了疏导贷款利率下行，支持实体经济，计预计2月份LPR较大概率下行。LPR下行，传导至银行贷款端，银行的息差和利润都将承压。为了促进银行有动力降低贷款利率，银行的负债成本下行也将是非常重要的因素，如果未来存款</w:t>
      </w: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端利率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下降，在FTP传导机制下，贷款利率更易下行。</w:t>
      </w:r>
    </w:p>
    <w:p w:rsidR="00392F68" w:rsidRPr="00392F68" w:rsidRDefault="00392F68" w:rsidP="00392F68">
      <w:pPr>
        <w:widowControl/>
        <w:wordWrap w:val="0"/>
        <w:spacing w:before="100" w:beforeAutospacing="1" w:after="100" w:afterAutospacing="1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央行货币政策委员会委员、清华大学国家金融研究院研究员马骏表示，要增加对受疫情严重冲击的小</w:t>
      </w:r>
      <w:proofErr w:type="gramStart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微企业</w:t>
      </w:r>
      <w:proofErr w:type="gramEnd"/>
      <w:r w:rsidRPr="00392F68">
        <w:rPr>
          <w:rFonts w:ascii="宋体" w:eastAsia="宋体" w:hAnsi="宋体" w:cs="宋体"/>
          <w:color w:val="1A1A1A"/>
          <w:kern w:val="0"/>
          <w:sz w:val="24"/>
          <w:szCs w:val="24"/>
        </w:rPr>
        <w:t>的税收减免和补贴，可考虑适当降低央行基准存款利率，为银行降低贷款利率提供空间，帮助困难企业渡过难关。</w:t>
      </w:r>
    </w:p>
    <w:p w:rsidR="00FE47F8" w:rsidRPr="00392F68" w:rsidRDefault="00392F68"/>
    <w:sectPr w:rsidR="00FE47F8" w:rsidRPr="00392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68"/>
    <w:rsid w:val="00392F68"/>
    <w:rsid w:val="004F1E7E"/>
    <w:rsid w:val="00A9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CBBEC-EB13-4FDA-AC3D-0DFE4D67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2F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92F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F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92F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eibotimeday">
    <w:name w:val="weibo_time_day"/>
    <w:basedOn w:val="a0"/>
    <w:rsid w:val="00392F68"/>
  </w:style>
  <w:style w:type="character" w:styleId="a3">
    <w:name w:val="Hyperlink"/>
    <w:basedOn w:val="a0"/>
    <w:uiPriority w:val="99"/>
    <w:semiHidden/>
    <w:unhideWhenUsed/>
    <w:rsid w:val="00392F68"/>
    <w:rPr>
      <w:color w:val="0000FF"/>
      <w:u w:val="single"/>
    </w:rPr>
  </w:style>
  <w:style w:type="paragraph" w:customStyle="1" w:styleId="artp">
    <w:name w:val="art_p"/>
    <w:basedOn w:val="a"/>
    <w:rsid w:val="00392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92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海涛 李</dc:creator>
  <cp:keywords/>
  <dc:description/>
  <cp:lastModifiedBy>海涛 李</cp:lastModifiedBy>
  <cp:revision>1</cp:revision>
  <dcterms:created xsi:type="dcterms:W3CDTF">2020-02-24T07:54:00Z</dcterms:created>
  <dcterms:modified xsi:type="dcterms:W3CDTF">2020-02-24T07:54:00Z</dcterms:modified>
</cp:coreProperties>
</file>